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373" w:rsidRPr="005E6BE6" w:rsidRDefault="00177CE5" w:rsidP="00086D61">
      <w:pPr>
        <w:jc w:val="center"/>
        <w:rPr>
          <w:rFonts w:ascii="Times New Roman" w:hAnsi="Times New Roman" w:cs="Times New Roman"/>
          <w:sz w:val="24"/>
          <w:szCs w:val="24"/>
        </w:rPr>
      </w:pPr>
      <w:bookmarkStart w:id="0" w:name="_GoBack"/>
      <w:bookmarkEnd w:id="0"/>
      <w:r w:rsidRPr="005E6BE6">
        <w:rPr>
          <w:rFonts w:ascii="Times New Roman" w:hAnsi="Times New Roman" w:cs="Times New Roman"/>
          <w:sz w:val="24"/>
          <w:szCs w:val="24"/>
        </w:rPr>
        <w:t xml:space="preserve">Discussion </w:t>
      </w:r>
      <w:r w:rsidR="00086D61" w:rsidRPr="005E6BE6">
        <w:rPr>
          <w:rFonts w:ascii="Times New Roman" w:hAnsi="Times New Roman" w:cs="Times New Roman"/>
          <w:sz w:val="24"/>
          <w:szCs w:val="24"/>
        </w:rPr>
        <w:t>Cases for Pragmatism and Social/Political Values</w:t>
      </w:r>
    </w:p>
    <w:p w:rsidR="00581F3E" w:rsidRPr="005E6BE6" w:rsidRDefault="00581F3E" w:rsidP="00086D61">
      <w:pPr>
        <w:jc w:val="center"/>
        <w:rPr>
          <w:rFonts w:ascii="Times New Roman" w:hAnsi="Times New Roman" w:cs="Times New Roman"/>
          <w:sz w:val="24"/>
          <w:szCs w:val="24"/>
        </w:rPr>
      </w:pPr>
      <w:r w:rsidRPr="005E6BE6">
        <w:rPr>
          <w:rFonts w:ascii="Times New Roman" w:hAnsi="Times New Roman" w:cs="Times New Roman"/>
          <w:sz w:val="24"/>
          <w:szCs w:val="24"/>
        </w:rPr>
        <w:t>Name_____________________________________</w:t>
      </w:r>
    </w:p>
    <w:p w:rsidR="00086D61" w:rsidRPr="005E6BE6" w:rsidRDefault="00086D61" w:rsidP="00086D61">
      <w:pPr>
        <w:rPr>
          <w:rFonts w:ascii="Times New Roman" w:hAnsi="Times New Roman" w:cs="Times New Roman"/>
          <w:sz w:val="24"/>
          <w:szCs w:val="24"/>
        </w:rPr>
      </w:pPr>
      <w:r w:rsidRPr="005E6BE6">
        <w:rPr>
          <w:rFonts w:ascii="Times New Roman" w:hAnsi="Times New Roman" w:cs="Times New Roman"/>
          <w:sz w:val="24"/>
          <w:szCs w:val="24"/>
        </w:rPr>
        <w:tab/>
        <w:t>If George Herbert Mead and John Dewey are correct in holding that freedom and individuality can be developed or thwarted through various identities/roles taken within a social group or groups, how would you evaluate the following social groups</w:t>
      </w:r>
      <w:r w:rsidR="00177CE5" w:rsidRPr="005E6BE6">
        <w:rPr>
          <w:rFonts w:ascii="Times New Roman" w:hAnsi="Times New Roman" w:cs="Times New Roman"/>
          <w:sz w:val="24"/>
          <w:szCs w:val="24"/>
        </w:rPr>
        <w:t xml:space="preserve"> and our individual membership in</w:t>
      </w:r>
      <w:r w:rsidRPr="005E6BE6">
        <w:rPr>
          <w:rFonts w:ascii="Times New Roman" w:hAnsi="Times New Roman" w:cs="Times New Roman"/>
          <w:sz w:val="24"/>
          <w:szCs w:val="24"/>
        </w:rPr>
        <w:t xml:space="preserve"> politically established</w:t>
      </w:r>
      <w:r w:rsidR="00177CE5" w:rsidRPr="005E6BE6">
        <w:rPr>
          <w:rFonts w:ascii="Times New Roman" w:hAnsi="Times New Roman" w:cs="Times New Roman"/>
          <w:sz w:val="24"/>
          <w:szCs w:val="24"/>
        </w:rPr>
        <w:t xml:space="preserve"> groups</w:t>
      </w:r>
      <w:r w:rsidRPr="005E6BE6">
        <w:rPr>
          <w:rFonts w:ascii="Times New Roman" w:hAnsi="Times New Roman" w:cs="Times New Roman"/>
          <w:sz w:val="24"/>
          <w:szCs w:val="24"/>
        </w:rPr>
        <w:t xml:space="preserve"> through either the state governments or the federal </w:t>
      </w:r>
      <w:proofErr w:type="gramStart"/>
      <w:r w:rsidRPr="005E6BE6">
        <w:rPr>
          <w:rFonts w:ascii="Times New Roman" w:hAnsi="Times New Roman" w:cs="Times New Roman"/>
          <w:sz w:val="24"/>
          <w:szCs w:val="24"/>
        </w:rPr>
        <w:t>government:</w:t>
      </w:r>
      <w:proofErr w:type="gramEnd"/>
    </w:p>
    <w:p w:rsidR="00086D61" w:rsidRPr="005E6BE6" w:rsidRDefault="00086D61" w:rsidP="00086D61">
      <w:pPr>
        <w:pStyle w:val="ListParagraph"/>
        <w:numPr>
          <w:ilvl w:val="0"/>
          <w:numId w:val="1"/>
        </w:numPr>
        <w:rPr>
          <w:rFonts w:ascii="Times New Roman" w:hAnsi="Times New Roman" w:cs="Times New Roman"/>
          <w:sz w:val="24"/>
          <w:szCs w:val="24"/>
        </w:rPr>
      </w:pPr>
      <w:r w:rsidRPr="005E6BE6">
        <w:rPr>
          <w:rFonts w:ascii="Times New Roman" w:hAnsi="Times New Roman" w:cs="Times New Roman"/>
          <w:sz w:val="24"/>
          <w:szCs w:val="24"/>
        </w:rPr>
        <w:t>Kindergarten through high school free public education supported by property taxes and state income taxes?   How positive or negative in its overall effects?</w:t>
      </w:r>
    </w:p>
    <w:p w:rsidR="00086D61" w:rsidRPr="005E6BE6" w:rsidRDefault="00086D61" w:rsidP="00086D61">
      <w:pPr>
        <w:rPr>
          <w:rFonts w:ascii="Times New Roman" w:hAnsi="Times New Roman" w:cs="Times New Roman"/>
          <w:sz w:val="24"/>
          <w:szCs w:val="24"/>
        </w:rPr>
      </w:pPr>
    </w:p>
    <w:p w:rsidR="00086D61" w:rsidRPr="005E6BE6" w:rsidRDefault="00086D61" w:rsidP="00086D61">
      <w:pPr>
        <w:rPr>
          <w:rFonts w:ascii="Times New Roman" w:hAnsi="Times New Roman" w:cs="Times New Roman"/>
          <w:sz w:val="24"/>
          <w:szCs w:val="24"/>
        </w:rPr>
      </w:pPr>
    </w:p>
    <w:p w:rsidR="00086D61" w:rsidRPr="005E6BE6" w:rsidRDefault="00086D61" w:rsidP="00086D61">
      <w:pPr>
        <w:pStyle w:val="ListParagraph"/>
        <w:numPr>
          <w:ilvl w:val="0"/>
          <w:numId w:val="1"/>
        </w:numPr>
        <w:rPr>
          <w:rFonts w:ascii="Times New Roman" w:hAnsi="Times New Roman" w:cs="Times New Roman"/>
          <w:sz w:val="24"/>
          <w:szCs w:val="24"/>
        </w:rPr>
      </w:pPr>
      <w:r w:rsidRPr="005E6BE6">
        <w:rPr>
          <w:rFonts w:ascii="Times New Roman" w:hAnsi="Times New Roman" w:cs="Times New Roman"/>
          <w:sz w:val="24"/>
          <w:szCs w:val="24"/>
        </w:rPr>
        <w:t xml:space="preserve">Age 2 to </w:t>
      </w:r>
      <w:proofErr w:type="gramStart"/>
      <w:r w:rsidRPr="005E6BE6">
        <w:rPr>
          <w:rFonts w:ascii="Times New Roman" w:hAnsi="Times New Roman" w:cs="Times New Roman"/>
          <w:sz w:val="24"/>
          <w:szCs w:val="24"/>
        </w:rPr>
        <w:t>21  free</w:t>
      </w:r>
      <w:proofErr w:type="gramEnd"/>
      <w:r w:rsidRPr="005E6BE6">
        <w:rPr>
          <w:rFonts w:ascii="Times New Roman" w:hAnsi="Times New Roman" w:cs="Times New Roman"/>
          <w:sz w:val="24"/>
          <w:szCs w:val="24"/>
        </w:rPr>
        <w:t xml:space="preserve"> public education for handicapped children </w:t>
      </w:r>
      <w:r w:rsidRPr="005E6BE6">
        <w:rPr>
          <w:rFonts w:ascii="Times New Roman" w:hAnsi="Times New Roman" w:cs="Times New Roman"/>
          <w:sz w:val="24"/>
          <w:szCs w:val="24"/>
        </w:rPr>
        <w:t>supported by property taxes and state income taxes?   How positive or negative in its overall effects?</w:t>
      </w:r>
    </w:p>
    <w:p w:rsidR="00086D61" w:rsidRPr="005E6BE6" w:rsidRDefault="00086D61" w:rsidP="00086D61">
      <w:pPr>
        <w:rPr>
          <w:rFonts w:ascii="Times New Roman" w:hAnsi="Times New Roman" w:cs="Times New Roman"/>
          <w:sz w:val="24"/>
          <w:szCs w:val="24"/>
        </w:rPr>
      </w:pPr>
    </w:p>
    <w:p w:rsidR="00086D61" w:rsidRPr="005E6BE6" w:rsidRDefault="00086D61" w:rsidP="00086D61">
      <w:pPr>
        <w:rPr>
          <w:rFonts w:ascii="Times New Roman" w:hAnsi="Times New Roman" w:cs="Times New Roman"/>
          <w:sz w:val="24"/>
          <w:szCs w:val="24"/>
        </w:rPr>
      </w:pPr>
    </w:p>
    <w:p w:rsidR="001560BA" w:rsidRPr="005E6BE6" w:rsidRDefault="00086D61" w:rsidP="001560BA">
      <w:pPr>
        <w:pStyle w:val="ListParagraph"/>
        <w:numPr>
          <w:ilvl w:val="0"/>
          <w:numId w:val="1"/>
        </w:numPr>
        <w:rPr>
          <w:rFonts w:ascii="Times New Roman" w:hAnsi="Times New Roman" w:cs="Times New Roman"/>
          <w:sz w:val="24"/>
          <w:szCs w:val="24"/>
        </w:rPr>
      </w:pPr>
      <w:r w:rsidRPr="005E6BE6">
        <w:rPr>
          <w:rFonts w:ascii="Times New Roman" w:hAnsi="Times New Roman" w:cs="Times New Roman"/>
          <w:sz w:val="24"/>
          <w:szCs w:val="24"/>
        </w:rPr>
        <w:t>Pell Grants of up to $5770 per year from the federal government from federal income taxes to support a citizen or green card holder to attend any public or private community college</w:t>
      </w:r>
      <w:r w:rsidR="001560BA" w:rsidRPr="005E6BE6">
        <w:rPr>
          <w:rFonts w:ascii="Times New Roman" w:hAnsi="Times New Roman" w:cs="Times New Roman"/>
          <w:sz w:val="24"/>
          <w:szCs w:val="24"/>
        </w:rPr>
        <w:t xml:space="preserve">?  </w:t>
      </w:r>
      <w:r w:rsidR="001560BA" w:rsidRPr="005E6BE6">
        <w:rPr>
          <w:rFonts w:ascii="Times New Roman" w:hAnsi="Times New Roman" w:cs="Times New Roman"/>
          <w:sz w:val="24"/>
          <w:szCs w:val="24"/>
        </w:rPr>
        <w:t>How positive or negative in its overall effects?</w:t>
      </w:r>
    </w:p>
    <w:p w:rsidR="001560BA" w:rsidRPr="005E6BE6" w:rsidRDefault="001560BA" w:rsidP="001560BA">
      <w:pPr>
        <w:rPr>
          <w:rFonts w:ascii="Times New Roman" w:hAnsi="Times New Roman" w:cs="Times New Roman"/>
          <w:sz w:val="24"/>
          <w:szCs w:val="24"/>
        </w:rPr>
      </w:pPr>
    </w:p>
    <w:p w:rsidR="001560BA" w:rsidRPr="005E6BE6" w:rsidRDefault="001560BA" w:rsidP="001560BA">
      <w:pPr>
        <w:rPr>
          <w:rFonts w:ascii="Times New Roman" w:hAnsi="Times New Roman" w:cs="Times New Roman"/>
          <w:sz w:val="24"/>
          <w:szCs w:val="24"/>
        </w:rPr>
      </w:pPr>
    </w:p>
    <w:p w:rsidR="001560BA" w:rsidRPr="005E6BE6" w:rsidRDefault="001560BA" w:rsidP="001560BA">
      <w:pPr>
        <w:rPr>
          <w:rFonts w:ascii="Times New Roman" w:hAnsi="Times New Roman" w:cs="Times New Roman"/>
          <w:sz w:val="24"/>
          <w:szCs w:val="24"/>
        </w:rPr>
      </w:pPr>
    </w:p>
    <w:p w:rsidR="001560BA" w:rsidRPr="005E6BE6" w:rsidRDefault="001560BA" w:rsidP="001560BA">
      <w:pPr>
        <w:pStyle w:val="ListParagraph"/>
        <w:numPr>
          <w:ilvl w:val="0"/>
          <w:numId w:val="1"/>
        </w:numPr>
        <w:rPr>
          <w:rFonts w:ascii="Times New Roman" w:hAnsi="Times New Roman" w:cs="Times New Roman"/>
          <w:sz w:val="24"/>
          <w:szCs w:val="24"/>
        </w:rPr>
      </w:pPr>
      <w:r w:rsidRPr="005E6BE6">
        <w:rPr>
          <w:rFonts w:ascii="Times New Roman" w:hAnsi="Times New Roman" w:cs="Times New Roman"/>
          <w:sz w:val="24"/>
          <w:szCs w:val="24"/>
        </w:rPr>
        <w:t xml:space="preserve">State Grants in Virginia of approximately $5,000 a year for students to attend JMU from state taxes whose parents under FAFSA has an EFC (Expected Family Contribution) of $00.00?  </w:t>
      </w:r>
      <w:r w:rsidRPr="005E6BE6">
        <w:rPr>
          <w:rFonts w:ascii="Times New Roman" w:hAnsi="Times New Roman" w:cs="Times New Roman"/>
          <w:sz w:val="24"/>
          <w:szCs w:val="24"/>
        </w:rPr>
        <w:t>How positive or negative in its overall effects?</w:t>
      </w:r>
    </w:p>
    <w:p w:rsidR="001560BA" w:rsidRPr="005E6BE6" w:rsidRDefault="001560BA" w:rsidP="001560BA">
      <w:pPr>
        <w:rPr>
          <w:rFonts w:ascii="Times New Roman" w:hAnsi="Times New Roman" w:cs="Times New Roman"/>
          <w:sz w:val="24"/>
          <w:szCs w:val="24"/>
        </w:rPr>
      </w:pPr>
    </w:p>
    <w:p w:rsidR="001560BA" w:rsidRPr="005E6BE6" w:rsidRDefault="001560BA" w:rsidP="001560BA">
      <w:pPr>
        <w:rPr>
          <w:rFonts w:ascii="Times New Roman" w:hAnsi="Times New Roman" w:cs="Times New Roman"/>
          <w:sz w:val="24"/>
          <w:szCs w:val="24"/>
        </w:rPr>
      </w:pPr>
    </w:p>
    <w:p w:rsidR="001560BA" w:rsidRPr="005E6BE6" w:rsidRDefault="001560BA" w:rsidP="001560BA">
      <w:pPr>
        <w:rPr>
          <w:rFonts w:ascii="Times New Roman" w:hAnsi="Times New Roman" w:cs="Times New Roman"/>
          <w:sz w:val="24"/>
          <w:szCs w:val="24"/>
        </w:rPr>
      </w:pPr>
    </w:p>
    <w:p w:rsidR="001560BA" w:rsidRPr="005E6BE6" w:rsidRDefault="001560BA" w:rsidP="001560BA">
      <w:pPr>
        <w:pStyle w:val="ListParagraph"/>
        <w:numPr>
          <w:ilvl w:val="0"/>
          <w:numId w:val="1"/>
        </w:numPr>
        <w:rPr>
          <w:rFonts w:ascii="Times New Roman" w:hAnsi="Times New Roman" w:cs="Times New Roman"/>
          <w:sz w:val="24"/>
          <w:szCs w:val="24"/>
        </w:rPr>
      </w:pPr>
      <w:r w:rsidRPr="005E6BE6">
        <w:rPr>
          <w:rFonts w:ascii="Times New Roman" w:hAnsi="Times New Roman" w:cs="Times New Roman"/>
          <w:sz w:val="24"/>
          <w:szCs w:val="24"/>
        </w:rPr>
        <w:t xml:space="preserve">Land Grant Universities established by state such as Virginia Tech from free federal gifts of land or money in all 50 states from Federal taxes or land wealth?  </w:t>
      </w:r>
      <w:r w:rsidRPr="005E6BE6">
        <w:rPr>
          <w:rFonts w:ascii="Times New Roman" w:hAnsi="Times New Roman" w:cs="Times New Roman"/>
          <w:sz w:val="24"/>
          <w:szCs w:val="24"/>
        </w:rPr>
        <w:t>How positive or negative in its overall effects?</w:t>
      </w:r>
    </w:p>
    <w:p w:rsidR="001560BA" w:rsidRPr="005E6BE6" w:rsidRDefault="001560BA" w:rsidP="001560BA">
      <w:pPr>
        <w:rPr>
          <w:rFonts w:ascii="Times New Roman" w:hAnsi="Times New Roman" w:cs="Times New Roman"/>
          <w:sz w:val="24"/>
          <w:szCs w:val="24"/>
        </w:rPr>
      </w:pPr>
    </w:p>
    <w:p w:rsidR="001560BA" w:rsidRPr="005E6BE6" w:rsidRDefault="001560BA" w:rsidP="001560BA">
      <w:pPr>
        <w:rPr>
          <w:rFonts w:ascii="Times New Roman" w:hAnsi="Times New Roman" w:cs="Times New Roman"/>
          <w:sz w:val="24"/>
          <w:szCs w:val="24"/>
        </w:rPr>
      </w:pPr>
    </w:p>
    <w:p w:rsidR="00873F3C" w:rsidRPr="005E6BE6" w:rsidRDefault="001560BA" w:rsidP="00873F3C">
      <w:pPr>
        <w:pStyle w:val="ListParagraph"/>
        <w:numPr>
          <w:ilvl w:val="0"/>
          <w:numId w:val="1"/>
        </w:numPr>
        <w:shd w:val="clear" w:color="auto" w:fill="FFFFFF"/>
        <w:spacing w:after="240" w:line="360" w:lineRule="atLeast"/>
        <w:rPr>
          <w:rFonts w:ascii="Times New Roman" w:hAnsi="Times New Roman" w:cs="Times New Roman"/>
          <w:color w:val="333333"/>
          <w:sz w:val="24"/>
          <w:szCs w:val="24"/>
        </w:rPr>
      </w:pPr>
      <w:r w:rsidRPr="005E6BE6">
        <w:rPr>
          <w:rFonts w:ascii="Times New Roman" w:hAnsi="Times New Roman" w:cs="Times New Roman"/>
          <w:sz w:val="24"/>
          <w:szCs w:val="24"/>
        </w:rPr>
        <w:t xml:space="preserve">State colleges and universities established by state taxes and still funded by state income taxes so that a university like JMU can exist and provide lower cost, high quality </w:t>
      </w:r>
      <w:proofErr w:type="gramStart"/>
      <w:r w:rsidRPr="005E6BE6">
        <w:rPr>
          <w:rFonts w:ascii="Times New Roman" w:hAnsi="Times New Roman" w:cs="Times New Roman"/>
          <w:sz w:val="24"/>
          <w:szCs w:val="24"/>
        </w:rPr>
        <w:t>educations  less</w:t>
      </w:r>
      <w:proofErr w:type="gramEnd"/>
      <w:r w:rsidRPr="005E6BE6">
        <w:rPr>
          <w:rFonts w:ascii="Times New Roman" w:hAnsi="Times New Roman" w:cs="Times New Roman"/>
          <w:sz w:val="24"/>
          <w:szCs w:val="24"/>
        </w:rPr>
        <w:t xml:space="preserve"> expensive that private universities could do so?   </w:t>
      </w:r>
      <w:r w:rsidRPr="005E6BE6">
        <w:rPr>
          <w:rFonts w:ascii="Times New Roman" w:hAnsi="Times New Roman" w:cs="Times New Roman"/>
          <w:sz w:val="24"/>
          <w:szCs w:val="24"/>
        </w:rPr>
        <w:t>How positive or negative in its overall effects?</w:t>
      </w:r>
      <w:r w:rsidR="00873F3C" w:rsidRPr="005E6BE6">
        <w:rPr>
          <w:rFonts w:ascii="Times New Roman" w:hAnsi="Times New Roman" w:cs="Times New Roman"/>
          <w:sz w:val="24"/>
          <w:szCs w:val="24"/>
        </w:rPr>
        <w:t xml:space="preserve">   </w:t>
      </w:r>
    </w:p>
    <w:p w:rsidR="00873F3C" w:rsidRPr="005E6BE6" w:rsidRDefault="00873F3C" w:rsidP="00873F3C">
      <w:pPr>
        <w:shd w:val="clear" w:color="auto" w:fill="FFFFFF"/>
        <w:spacing w:after="240" w:line="360" w:lineRule="atLeast"/>
        <w:rPr>
          <w:rFonts w:ascii="Times New Roman" w:hAnsi="Times New Roman" w:cs="Times New Roman"/>
          <w:sz w:val="24"/>
          <w:szCs w:val="24"/>
        </w:rPr>
      </w:pPr>
    </w:p>
    <w:p w:rsidR="00873F3C" w:rsidRPr="005E6BE6" w:rsidRDefault="00873F3C" w:rsidP="00873F3C">
      <w:pPr>
        <w:shd w:val="clear" w:color="auto" w:fill="FFFFFF"/>
        <w:spacing w:after="240" w:line="360" w:lineRule="atLeast"/>
        <w:rPr>
          <w:rFonts w:ascii="Times New Roman" w:hAnsi="Times New Roman" w:cs="Times New Roman"/>
          <w:sz w:val="24"/>
          <w:szCs w:val="24"/>
        </w:rPr>
      </w:pPr>
    </w:p>
    <w:p w:rsidR="00873F3C" w:rsidRPr="005E6BE6" w:rsidRDefault="00873F3C" w:rsidP="00873F3C">
      <w:pPr>
        <w:shd w:val="clear" w:color="auto" w:fill="FFFFFF"/>
        <w:spacing w:after="240" w:line="360" w:lineRule="atLeast"/>
        <w:rPr>
          <w:rFonts w:ascii="Times New Roman" w:hAnsi="Times New Roman" w:cs="Times New Roman"/>
          <w:sz w:val="24"/>
          <w:szCs w:val="24"/>
        </w:rPr>
      </w:pPr>
    </w:p>
    <w:p w:rsidR="00873F3C" w:rsidRPr="005E6BE6" w:rsidRDefault="00873F3C" w:rsidP="00873F3C">
      <w:pPr>
        <w:shd w:val="clear" w:color="auto" w:fill="FFFFFF"/>
        <w:spacing w:after="240" w:line="360" w:lineRule="atLeast"/>
        <w:rPr>
          <w:rFonts w:ascii="Times New Roman" w:hAnsi="Times New Roman" w:cs="Times New Roman"/>
          <w:color w:val="333333"/>
          <w:sz w:val="24"/>
          <w:szCs w:val="24"/>
        </w:rPr>
      </w:pPr>
      <w:r w:rsidRPr="005E6BE6">
        <w:rPr>
          <w:rFonts w:ascii="Times New Roman" w:hAnsi="Times New Roman" w:cs="Times New Roman"/>
          <w:sz w:val="24"/>
          <w:szCs w:val="24"/>
        </w:rPr>
        <w:t xml:space="preserve"> </w:t>
      </w:r>
    </w:p>
    <w:p w:rsidR="00873F3C" w:rsidRPr="005E6BE6" w:rsidRDefault="00873F3C" w:rsidP="00873F3C">
      <w:pPr>
        <w:pStyle w:val="ListParagraph"/>
        <w:numPr>
          <w:ilvl w:val="0"/>
          <w:numId w:val="1"/>
        </w:numPr>
        <w:shd w:val="clear" w:color="auto" w:fill="FFFFFF"/>
        <w:spacing w:after="240" w:line="360" w:lineRule="atLeast"/>
        <w:rPr>
          <w:rFonts w:ascii="Times New Roman" w:hAnsi="Times New Roman" w:cs="Times New Roman"/>
          <w:color w:val="333333"/>
          <w:sz w:val="24"/>
          <w:szCs w:val="24"/>
        </w:rPr>
      </w:pPr>
      <w:r w:rsidRPr="005E6BE6">
        <w:rPr>
          <w:rFonts w:ascii="Times New Roman" w:hAnsi="Times New Roman" w:cs="Times New Roman"/>
          <w:sz w:val="24"/>
          <w:szCs w:val="24"/>
        </w:rPr>
        <w:t>O</w:t>
      </w:r>
      <w:r w:rsidR="001560BA" w:rsidRPr="005E6BE6">
        <w:rPr>
          <w:rFonts w:ascii="Times New Roman" w:hAnsi="Times New Roman" w:cs="Times New Roman"/>
          <w:sz w:val="24"/>
          <w:szCs w:val="24"/>
        </w:rPr>
        <w:t xml:space="preserve">ld Age, Survivor, and Disability Insurance </w:t>
      </w:r>
      <w:r w:rsidR="001560BA" w:rsidRPr="005E6BE6">
        <w:rPr>
          <w:rFonts w:ascii="Times New Roman" w:hAnsi="Times New Roman" w:cs="Times New Roman"/>
          <w:color w:val="222222"/>
          <w:sz w:val="24"/>
          <w:szCs w:val="24"/>
          <w:shd w:val="clear" w:color="auto" w:fill="FFFFFF"/>
        </w:rPr>
        <w:t>which is more commonly referred to as Social Security</w:t>
      </w:r>
      <w:r w:rsidRPr="005E6BE6">
        <w:rPr>
          <w:rFonts w:ascii="Times New Roman" w:hAnsi="Times New Roman" w:cs="Times New Roman"/>
          <w:color w:val="222222"/>
          <w:sz w:val="24"/>
          <w:szCs w:val="24"/>
          <w:shd w:val="clear" w:color="auto" w:fill="FFFFFF"/>
        </w:rPr>
        <w:t xml:space="preserve"> which taxes both the individual worker </w:t>
      </w:r>
      <w:r w:rsidR="005652C2">
        <w:rPr>
          <w:rFonts w:ascii="Times New Roman" w:hAnsi="Times New Roman" w:cs="Times New Roman"/>
          <w:color w:val="222222"/>
          <w:sz w:val="24"/>
          <w:szCs w:val="24"/>
          <w:shd w:val="clear" w:color="auto" w:fill="FFFFFF"/>
        </w:rPr>
        <w:t xml:space="preserve">and </w:t>
      </w:r>
      <w:r w:rsidRPr="005E6BE6">
        <w:rPr>
          <w:rFonts w:ascii="Times New Roman" w:hAnsi="Times New Roman" w:cs="Times New Roman"/>
          <w:color w:val="222222"/>
          <w:sz w:val="24"/>
          <w:szCs w:val="24"/>
          <w:shd w:val="clear" w:color="auto" w:fill="FFFFFF"/>
        </w:rPr>
        <w:t>one’s employer.  The OASDI tax rate for wages paid in 2015 is set by statute at </w:t>
      </w:r>
      <w:r w:rsidRPr="005E6BE6">
        <w:rPr>
          <w:rFonts w:ascii="Times New Roman" w:hAnsi="Times New Roman" w:cs="Times New Roman"/>
          <w:b/>
          <w:bCs/>
          <w:color w:val="222222"/>
          <w:sz w:val="24"/>
          <w:szCs w:val="24"/>
          <w:shd w:val="clear" w:color="auto" w:fill="FFFFFF"/>
        </w:rPr>
        <w:t>6.2 percent</w:t>
      </w:r>
      <w:r w:rsidRPr="005E6BE6">
        <w:rPr>
          <w:rFonts w:ascii="Times New Roman" w:hAnsi="Times New Roman" w:cs="Times New Roman"/>
          <w:color w:val="222222"/>
          <w:sz w:val="24"/>
          <w:szCs w:val="24"/>
          <w:shd w:val="clear" w:color="auto" w:fill="FFFFFF"/>
        </w:rPr>
        <w:t xml:space="preserve"> for employees and employers, each. Thus, an individual with wages equal to or larger than $118,500 would contribute $7,347.00 to the OASDI program in 2015, and his or her employer would contribute the same amount.  </w:t>
      </w:r>
      <w:r w:rsidRPr="005E6BE6">
        <w:rPr>
          <w:rFonts w:ascii="Times New Roman" w:hAnsi="Times New Roman" w:cs="Times New Roman"/>
          <w:b/>
          <w:bCs/>
          <w:color w:val="333333"/>
          <w:sz w:val="24"/>
          <w:szCs w:val="24"/>
        </w:rPr>
        <w:t>In 2014, over 59 million Americans will receive almost $863 billion in Social Security benefits.</w:t>
      </w:r>
    </w:p>
    <w:tbl>
      <w:tblPr>
        <w:tblW w:w="10500" w:type="dxa"/>
        <w:tblCellSpacing w:w="15" w:type="dxa"/>
        <w:tblBorders>
          <w:top w:val="single" w:sz="12" w:space="0" w:color="DDDDDD"/>
          <w:bottom w:val="single" w:sz="12" w:space="0" w:color="DDDDDD"/>
          <w:right w:val="single" w:sz="12" w:space="0" w:color="DDDDDD"/>
        </w:tblBorders>
        <w:tblCellMar>
          <w:top w:w="15" w:type="dxa"/>
          <w:left w:w="15" w:type="dxa"/>
          <w:bottom w:w="15" w:type="dxa"/>
          <w:right w:w="15" w:type="dxa"/>
        </w:tblCellMar>
        <w:tblLook w:val="04A0" w:firstRow="1" w:lastRow="0" w:firstColumn="1" w:lastColumn="0" w:noHBand="0" w:noVBand="1"/>
        <w:tblDescription w:val="Lists numbers of beneficiaries, amounts paid and their average monthly benefit."/>
      </w:tblPr>
      <w:tblGrid>
        <w:gridCol w:w="2638"/>
        <w:gridCol w:w="1693"/>
        <w:gridCol w:w="1911"/>
        <w:gridCol w:w="4258"/>
      </w:tblGrid>
      <w:tr w:rsidR="00873F3C" w:rsidRPr="00873F3C" w:rsidTr="00873F3C">
        <w:trPr>
          <w:tblHeader/>
          <w:tblCellSpacing w:w="15" w:type="dxa"/>
        </w:trPr>
        <w:tc>
          <w:tcPr>
            <w:tcW w:w="0" w:type="auto"/>
            <w:gridSpan w:val="4"/>
            <w:tcBorders>
              <w:top w:val="nil"/>
              <w:left w:val="single" w:sz="12" w:space="0" w:color="DDDDDD"/>
            </w:tcBorders>
            <w:shd w:val="clear" w:color="auto" w:fill="EEEEEE"/>
            <w:tcMar>
              <w:top w:w="120" w:type="dxa"/>
              <w:left w:w="120" w:type="dxa"/>
              <w:bottom w:w="120" w:type="dxa"/>
              <w:right w:w="120" w:type="dxa"/>
            </w:tcMar>
            <w:vAlign w:val="bottom"/>
            <w:hideMark/>
          </w:tcPr>
          <w:p w:rsidR="00873F3C" w:rsidRPr="00873F3C" w:rsidRDefault="00873F3C" w:rsidP="00873F3C">
            <w:pPr>
              <w:spacing w:after="360" w:line="360" w:lineRule="atLeast"/>
              <w:rPr>
                <w:rFonts w:ascii="Times New Roman" w:eastAsia="Times New Roman" w:hAnsi="Times New Roman" w:cs="Times New Roman"/>
                <w:b/>
                <w:bCs/>
                <w:sz w:val="24"/>
                <w:szCs w:val="24"/>
              </w:rPr>
            </w:pPr>
            <w:r w:rsidRPr="00873F3C">
              <w:rPr>
                <w:rFonts w:ascii="Times New Roman" w:eastAsia="Times New Roman" w:hAnsi="Times New Roman" w:cs="Times New Roman"/>
                <w:b/>
                <w:bCs/>
                <w:sz w:val="24"/>
                <w:szCs w:val="24"/>
              </w:rPr>
              <w:t>December 2013 Beneficiary Data</w:t>
            </w:r>
          </w:p>
        </w:tc>
      </w:tr>
      <w:tr w:rsidR="00873F3C" w:rsidRPr="00873F3C" w:rsidTr="00873F3C">
        <w:trPr>
          <w:tblCellSpacing w:w="15" w:type="dxa"/>
        </w:trPr>
        <w:tc>
          <w:tcPr>
            <w:tcW w:w="1755" w:type="dxa"/>
            <w:tcBorders>
              <w:top w:val="single" w:sz="12" w:space="0" w:color="DDDDDD"/>
              <w:left w:val="single" w:sz="12" w:space="0" w:color="DDDDDD"/>
            </w:tcBorders>
            <w:shd w:val="clear" w:color="auto" w:fill="auto"/>
            <w:tcMar>
              <w:top w:w="120" w:type="dxa"/>
              <w:left w:w="120" w:type="dxa"/>
              <w:bottom w:w="120" w:type="dxa"/>
              <w:right w:w="120" w:type="dxa"/>
            </w:tcMar>
            <w:hideMark/>
          </w:tcPr>
          <w:p w:rsidR="00873F3C" w:rsidRPr="00873F3C" w:rsidRDefault="00873F3C" w:rsidP="00873F3C">
            <w:pPr>
              <w:spacing w:after="360" w:line="360" w:lineRule="atLeast"/>
              <w:rPr>
                <w:rFonts w:ascii="Times New Roman" w:eastAsia="Times New Roman" w:hAnsi="Times New Roman" w:cs="Times New Roman"/>
                <w:b/>
                <w:bCs/>
                <w:sz w:val="24"/>
                <w:szCs w:val="24"/>
              </w:rPr>
            </w:pPr>
            <w:r w:rsidRPr="00873F3C">
              <w:rPr>
                <w:rFonts w:ascii="Times New Roman" w:eastAsia="Times New Roman" w:hAnsi="Times New Roman" w:cs="Times New Roman"/>
                <w:b/>
                <w:bCs/>
                <w:sz w:val="24"/>
                <w:szCs w:val="24"/>
              </w:rPr>
              <w:t>Retired workers</w:t>
            </w:r>
          </w:p>
        </w:tc>
        <w:tc>
          <w:tcPr>
            <w:tcW w:w="930" w:type="dxa"/>
            <w:tcBorders>
              <w:top w:val="single" w:sz="12" w:space="0" w:color="DDDDDD"/>
              <w:left w:val="single" w:sz="12" w:space="0" w:color="DDDDDD"/>
            </w:tcBorders>
            <w:shd w:val="clear" w:color="auto" w:fill="auto"/>
            <w:tcMar>
              <w:top w:w="120" w:type="dxa"/>
              <w:left w:w="120" w:type="dxa"/>
              <w:bottom w:w="120" w:type="dxa"/>
              <w:right w:w="120" w:type="dxa"/>
            </w:tcMar>
            <w:hideMark/>
          </w:tcPr>
          <w:p w:rsidR="00873F3C" w:rsidRPr="00873F3C" w:rsidRDefault="00873F3C" w:rsidP="00873F3C">
            <w:pPr>
              <w:spacing w:after="360" w:line="360" w:lineRule="atLeast"/>
              <w:rPr>
                <w:rFonts w:ascii="Times New Roman" w:eastAsia="Times New Roman" w:hAnsi="Times New Roman" w:cs="Times New Roman"/>
                <w:sz w:val="24"/>
                <w:szCs w:val="24"/>
              </w:rPr>
            </w:pPr>
            <w:r w:rsidRPr="00873F3C">
              <w:rPr>
                <w:rFonts w:ascii="Times New Roman" w:eastAsia="Times New Roman" w:hAnsi="Times New Roman" w:cs="Times New Roman"/>
                <w:sz w:val="24"/>
                <w:szCs w:val="24"/>
              </w:rPr>
              <w:t>38 million</w:t>
            </w:r>
          </w:p>
        </w:tc>
        <w:tc>
          <w:tcPr>
            <w:tcW w:w="1230" w:type="dxa"/>
            <w:tcBorders>
              <w:top w:val="single" w:sz="12" w:space="0" w:color="DDDDDD"/>
              <w:left w:val="single" w:sz="12" w:space="0" w:color="DDDDDD"/>
            </w:tcBorders>
            <w:shd w:val="clear" w:color="auto" w:fill="auto"/>
            <w:tcMar>
              <w:top w:w="120" w:type="dxa"/>
              <w:left w:w="120" w:type="dxa"/>
              <w:bottom w:w="120" w:type="dxa"/>
              <w:right w:w="120" w:type="dxa"/>
            </w:tcMar>
            <w:hideMark/>
          </w:tcPr>
          <w:p w:rsidR="00873F3C" w:rsidRPr="00873F3C" w:rsidRDefault="00873F3C" w:rsidP="00873F3C">
            <w:pPr>
              <w:spacing w:after="360" w:line="360" w:lineRule="atLeast"/>
              <w:rPr>
                <w:rFonts w:ascii="Times New Roman" w:eastAsia="Times New Roman" w:hAnsi="Times New Roman" w:cs="Times New Roman"/>
                <w:sz w:val="24"/>
                <w:szCs w:val="24"/>
              </w:rPr>
            </w:pPr>
            <w:r w:rsidRPr="00873F3C">
              <w:rPr>
                <w:rFonts w:ascii="Times New Roman" w:eastAsia="Times New Roman" w:hAnsi="Times New Roman" w:cs="Times New Roman"/>
                <w:sz w:val="24"/>
                <w:szCs w:val="24"/>
              </w:rPr>
              <w:t>$49 billion</w:t>
            </w:r>
          </w:p>
        </w:tc>
        <w:tc>
          <w:tcPr>
            <w:tcW w:w="2685" w:type="dxa"/>
            <w:tcBorders>
              <w:top w:val="single" w:sz="12" w:space="0" w:color="DDDDDD"/>
              <w:left w:val="single" w:sz="12" w:space="0" w:color="DDDDDD"/>
            </w:tcBorders>
            <w:shd w:val="clear" w:color="auto" w:fill="auto"/>
            <w:tcMar>
              <w:top w:w="120" w:type="dxa"/>
              <w:left w:w="120" w:type="dxa"/>
              <w:bottom w:w="120" w:type="dxa"/>
              <w:right w:w="120" w:type="dxa"/>
            </w:tcMar>
            <w:hideMark/>
          </w:tcPr>
          <w:p w:rsidR="00873F3C" w:rsidRPr="00873F3C" w:rsidRDefault="00873F3C" w:rsidP="00873F3C">
            <w:pPr>
              <w:spacing w:after="360" w:line="360" w:lineRule="atLeast"/>
              <w:rPr>
                <w:rFonts w:ascii="Times New Roman" w:eastAsia="Times New Roman" w:hAnsi="Times New Roman" w:cs="Times New Roman"/>
                <w:sz w:val="24"/>
                <w:szCs w:val="24"/>
              </w:rPr>
            </w:pPr>
            <w:r w:rsidRPr="00873F3C">
              <w:rPr>
                <w:rFonts w:ascii="Times New Roman" w:eastAsia="Times New Roman" w:hAnsi="Times New Roman" w:cs="Times New Roman"/>
                <w:sz w:val="24"/>
                <w:szCs w:val="24"/>
              </w:rPr>
              <w:t>$1,294 average monthly benefit</w:t>
            </w:r>
          </w:p>
        </w:tc>
      </w:tr>
      <w:tr w:rsidR="00873F3C" w:rsidRPr="00873F3C" w:rsidTr="00873F3C">
        <w:trPr>
          <w:tblCellSpacing w:w="15" w:type="dxa"/>
        </w:trPr>
        <w:tc>
          <w:tcPr>
            <w:tcW w:w="0" w:type="auto"/>
            <w:tcBorders>
              <w:top w:val="single" w:sz="12" w:space="0" w:color="DDDDDD"/>
              <w:left w:val="single" w:sz="12" w:space="0" w:color="DDDDDD"/>
            </w:tcBorders>
            <w:shd w:val="clear" w:color="auto" w:fill="F9F9F9"/>
            <w:tcMar>
              <w:top w:w="120" w:type="dxa"/>
              <w:left w:w="120" w:type="dxa"/>
              <w:bottom w:w="120" w:type="dxa"/>
              <w:right w:w="120" w:type="dxa"/>
            </w:tcMar>
            <w:hideMark/>
          </w:tcPr>
          <w:p w:rsidR="00873F3C" w:rsidRPr="00873F3C" w:rsidRDefault="00873F3C" w:rsidP="00873F3C">
            <w:pPr>
              <w:spacing w:after="360" w:line="360" w:lineRule="atLeast"/>
              <w:rPr>
                <w:rFonts w:ascii="Times New Roman" w:eastAsia="Times New Roman" w:hAnsi="Times New Roman" w:cs="Times New Roman"/>
                <w:b/>
                <w:bCs/>
                <w:sz w:val="24"/>
                <w:szCs w:val="24"/>
              </w:rPr>
            </w:pPr>
            <w:r w:rsidRPr="00873F3C">
              <w:rPr>
                <w:rFonts w:ascii="Times New Roman" w:eastAsia="Times New Roman" w:hAnsi="Times New Roman" w:cs="Times New Roman"/>
                <w:b/>
                <w:bCs/>
                <w:sz w:val="24"/>
                <w:szCs w:val="24"/>
              </w:rPr>
              <w:t>dependents</w:t>
            </w:r>
          </w:p>
        </w:tc>
        <w:tc>
          <w:tcPr>
            <w:tcW w:w="0" w:type="auto"/>
            <w:tcBorders>
              <w:top w:val="single" w:sz="12" w:space="0" w:color="DDDDDD"/>
              <w:left w:val="single" w:sz="12" w:space="0" w:color="DDDDDD"/>
            </w:tcBorders>
            <w:shd w:val="clear" w:color="auto" w:fill="F9F9F9"/>
            <w:tcMar>
              <w:top w:w="120" w:type="dxa"/>
              <w:left w:w="120" w:type="dxa"/>
              <w:bottom w:w="120" w:type="dxa"/>
              <w:right w:w="120" w:type="dxa"/>
            </w:tcMar>
            <w:hideMark/>
          </w:tcPr>
          <w:p w:rsidR="00873F3C" w:rsidRPr="00873F3C" w:rsidRDefault="00873F3C" w:rsidP="00873F3C">
            <w:pPr>
              <w:spacing w:after="360" w:line="360" w:lineRule="atLeast"/>
              <w:rPr>
                <w:rFonts w:ascii="Times New Roman" w:eastAsia="Times New Roman" w:hAnsi="Times New Roman" w:cs="Times New Roman"/>
                <w:sz w:val="24"/>
                <w:szCs w:val="24"/>
              </w:rPr>
            </w:pPr>
            <w:r w:rsidRPr="00873F3C">
              <w:rPr>
                <w:rFonts w:ascii="Times New Roman" w:eastAsia="Times New Roman" w:hAnsi="Times New Roman" w:cs="Times New Roman"/>
                <w:sz w:val="24"/>
                <w:szCs w:val="24"/>
              </w:rPr>
              <w:t>2.9 million</w:t>
            </w:r>
          </w:p>
        </w:tc>
        <w:tc>
          <w:tcPr>
            <w:tcW w:w="0" w:type="auto"/>
            <w:tcBorders>
              <w:top w:val="single" w:sz="12" w:space="0" w:color="DDDDDD"/>
              <w:left w:val="single" w:sz="12" w:space="0" w:color="DDDDDD"/>
            </w:tcBorders>
            <w:shd w:val="clear" w:color="auto" w:fill="F9F9F9"/>
            <w:tcMar>
              <w:top w:w="120" w:type="dxa"/>
              <w:left w:w="120" w:type="dxa"/>
              <w:bottom w:w="120" w:type="dxa"/>
              <w:right w:w="120" w:type="dxa"/>
            </w:tcMar>
            <w:hideMark/>
          </w:tcPr>
          <w:p w:rsidR="00873F3C" w:rsidRPr="00873F3C" w:rsidRDefault="00873F3C" w:rsidP="00873F3C">
            <w:pPr>
              <w:spacing w:after="360" w:line="360" w:lineRule="atLeast"/>
              <w:rPr>
                <w:rFonts w:ascii="Times New Roman" w:eastAsia="Times New Roman" w:hAnsi="Times New Roman" w:cs="Times New Roman"/>
                <w:sz w:val="24"/>
                <w:szCs w:val="24"/>
              </w:rPr>
            </w:pPr>
            <w:r w:rsidRPr="00873F3C">
              <w:rPr>
                <w:rFonts w:ascii="Times New Roman" w:eastAsia="Times New Roman" w:hAnsi="Times New Roman" w:cs="Times New Roman"/>
                <w:sz w:val="24"/>
                <w:szCs w:val="24"/>
              </w:rPr>
              <w:t>$ 1.9 billion</w:t>
            </w:r>
          </w:p>
        </w:tc>
        <w:tc>
          <w:tcPr>
            <w:tcW w:w="0" w:type="auto"/>
            <w:tcBorders>
              <w:top w:val="single" w:sz="12" w:space="0" w:color="DDDDDD"/>
              <w:left w:val="single" w:sz="12" w:space="0" w:color="DDDDDD"/>
            </w:tcBorders>
            <w:shd w:val="clear" w:color="auto" w:fill="F9F9F9"/>
            <w:tcMar>
              <w:top w:w="120" w:type="dxa"/>
              <w:left w:w="120" w:type="dxa"/>
              <w:bottom w:w="120" w:type="dxa"/>
              <w:right w:w="120" w:type="dxa"/>
            </w:tcMar>
            <w:hideMark/>
          </w:tcPr>
          <w:p w:rsidR="00873F3C" w:rsidRPr="00873F3C" w:rsidRDefault="00873F3C" w:rsidP="00873F3C">
            <w:pPr>
              <w:spacing w:after="360" w:line="360" w:lineRule="atLeast"/>
              <w:rPr>
                <w:rFonts w:ascii="Times New Roman" w:eastAsia="Times New Roman" w:hAnsi="Times New Roman" w:cs="Times New Roman"/>
                <w:sz w:val="24"/>
                <w:szCs w:val="24"/>
              </w:rPr>
            </w:pPr>
            <w:r w:rsidRPr="00873F3C">
              <w:rPr>
                <w:rFonts w:ascii="Times New Roman" w:eastAsia="Times New Roman" w:hAnsi="Times New Roman" w:cs="Times New Roman"/>
                <w:sz w:val="24"/>
                <w:szCs w:val="24"/>
              </w:rPr>
              <w:t> </w:t>
            </w:r>
          </w:p>
        </w:tc>
      </w:tr>
      <w:tr w:rsidR="00873F3C" w:rsidRPr="00873F3C" w:rsidTr="00873F3C">
        <w:trPr>
          <w:tblCellSpacing w:w="15" w:type="dxa"/>
        </w:trPr>
        <w:tc>
          <w:tcPr>
            <w:tcW w:w="0" w:type="auto"/>
            <w:tcBorders>
              <w:top w:val="single" w:sz="12" w:space="0" w:color="DDDDDD"/>
              <w:left w:val="single" w:sz="12" w:space="0" w:color="DDDDDD"/>
            </w:tcBorders>
            <w:shd w:val="clear" w:color="auto" w:fill="auto"/>
            <w:tcMar>
              <w:top w:w="120" w:type="dxa"/>
              <w:left w:w="120" w:type="dxa"/>
              <w:bottom w:w="120" w:type="dxa"/>
              <w:right w:w="120" w:type="dxa"/>
            </w:tcMar>
            <w:hideMark/>
          </w:tcPr>
          <w:p w:rsidR="00873F3C" w:rsidRPr="00873F3C" w:rsidRDefault="00873F3C" w:rsidP="00873F3C">
            <w:pPr>
              <w:spacing w:after="360" w:line="360" w:lineRule="atLeast"/>
              <w:rPr>
                <w:rFonts w:ascii="Times New Roman" w:eastAsia="Times New Roman" w:hAnsi="Times New Roman" w:cs="Times New Roman"/>
                <w:b/>
                <w:bCs/>
                <w:sz w:val="24"/>
                <w:szCs w:val="24"/>
              </w:rPr>
            </w:pPr>
            <w:r w:rsidRPr="00873F3C">
              <w:rPr>
                <w:rFonts w:ascii="Times New Roman" w:eastAsia="Times New Roman" w:hAnsi="Times New Roman" w:cs="Times New Roman"/>
                <w:b/>
                <w:bCs/>
                <w:sz w:val="24"/>
                <w:szCs w:val="24"/>
              </w:rPr>
              <w:t>Disabled workers</w:t>
            </w:r>
          </w:p>
        </w:tc>
        <w:tc>
          <w:tcPr>
            <w:tcW w:w="0" w:type="auto"/>
            <w:tcBorders>
              <w:top w:val="single" w:sz="12" w:space="0" w:color="DDDDDD"/>
              <w:left w:val="single" w:sz="12" w:space="0" w:color="DDDDDD"/>
            </w:tcBorders>
            <w:shd w:val="clear" w:color="auto" w:fill="auto"/>
            <w:tcMar>
              <w:top w:w="120" w:type="dxa"/>
              <w:left w:w="120" w:type="dxa"/>
              <w:bottom w:w="120" w:type="dxa"/>
              <w:right w:w="120" w:type="dxa"/>
            </w:tcMar>
            <w:hideMark/>
          </w:tcPr>
          <w:p w:rsidR="00873F3C" w:rsidRPr="00873F3C" w:rsidRDefault="00873F3C" w:rsidP="00873F3C">
            <w:pPr>
              <w:spacing w:after="360" w:line="360" w:lineRule="atLeast"/>
              <w:rPr>
                <w:rFonts w:ascii="Times New Roman" w:eastAsia="Times New Roman" w:hAnsi="Times New Roman" w:cs="Times New Roman"/>
                <w:sz w:val="24"/>
                <w:szCs w:val="24"/>
              </w:rPr>
            </w:pPr>
            <w:r w:rsidRPr="00873F3C">
              <w:rPr>
                <w:rFonts w:ascii="Times New Roman" w:eastAsia="Times New Roman" w:hAnsi="Times New Roman" w:cs="Times New Roman"/>
                <w:sz w:val="24"/>
                <w:szCs w:val="24"/>
              </w:rPr>
              <w:t>8.8 million</w:t>
            </w:r>
          </w:p>
        </w:tc>
        <w:tc>
          <w:tcPr>
            <w:tcW w:w="0" w:type="auto"/>
            <w:tcBorders>
              <w:top w:val="single" w:sz="12" w:space="0" w:color="DDDDDD"/>
              <w:left w:val="single" w:sz="12" w:space="0" w:color="DDDDDD"/>
            </w:tcBorders>
            <w:shd w:val="clear" w:color="auto" w:fill="auto"/>
            <w:tcMar>
              <w:top w:w="120" w:type="dxa"/>
              <w:left w:w="120" w:type="dxa"/>
              <w:bottom w:w="120" w:type="dxa"/>
              <w:right w:w="120" w:type="dxa"/>
            </w:tcMar>
            <w:hideMark/>
          </w:tcPr>
          <w:p w:rsidR="00873F3C" w:rsidRPr="00873F3C" w:rsidRDefault="00873F3C" w:rsidP="00873F3C">
            <w:pPr>
              <w:spacing w:after="360" w:line="360" w:lineRule="atLeast"/>
              <w:rPr>
                <w:rFonts w:ascii="Times New Roman" w:eastAsia="Times New Roman" w:hAnsi="Times New Roman" w:cs="Times New Roman"/>
                <w:sz w:val="24"/>
                <w:szCs w:val="24"/>
              </w:rPr>
            </w:pPr>
            <w:r w:rsidRPr="00873F3C">
              <w:rPr>
                <w:rFonts w:ascii="Times New Roman" w:eastAsia="Times New Roman" w:hAnsi="Times New Roman" w:cs="Times New Roman"/>
                <w:sz w:val="24"/>
                <w:szCs w:val="24"/>
              </w:rPr>
              <w:t>$10.3 billion</w:t>
            </w:r>
          </w:p>
        </w:tc>
        <w:tc>
          <w:tcPr>
            <w:tcW w:w="0" w:type="auto"/>
            <w:tcBorders>
              <w:top w:val="single" w:sz="12" w:space="0" w:color="DDDDDD"/>
              <w:left w:val="single" w:sz="12" w:space="0" w:color="DDDDDD"/>
            </w:tcBorders>
            <w:shd w:val="clear" w:color="auto" w:fill="auto"/>
            <w:tcMar>
              <w:top w:w="120" w:type="dxa"/>
              <w:left w:w="120" w:type="dxa"/>
              <w:bottom w:w="120" w:type="dxa"/>
              <w:right w:w="120" w:type="dxa"/>
            </w:tcMar>
            <w:hideMark/>
          </w:tcPr>
          <w:p w:rsidR="00873F3C" w:rsidRPr="00873F3C" w:rsidRDefault="00873F3C" w:rsidP="00873F3C">
            <w:pPr>
              <w:spacing w:after="360" w:line="360" w:lineRule="atLeast"/>
              <w:rPr>
                <w:rFonts w:ascii="Times New Roman" w:eastAsia="Times New Roman" w:hAnsi="Times New Roman" w:cs="Times New Roman"/>
                <w:sz w:val="24"/>
                <w:szCs w:val="24"/>
              </w:rPr>
            </w:pPr>
            <w:r w:rsidRPr="00873F3C">
              <w:rPr>
                <w:rFonts w:ascii="Times New Roman" w:eastAsia="Times New Roman" w:hAnsi="Times New Roman" w:cs="Times New Roman"/>
                <w:sz w:val="24"/>
                <w:szCs w:val="24"/>
              </w:rPr>
              <w:t>$1,146 average monthly benefit</w:t>
            </w:r>
          </w:p>
        </w:tc>
      </w:tr>
      <w:tr w:rsidR="00873F3C" w:rsidRPr="00873F3C" w:rsidTr="00873F3C">
        <w:trPr>
          <w:tblCellSpacing w:w="15" w:type="dxa"/>
        </w:trPr>
        <w:tc>
          <w:tcPr>
            <w:tcW w:w="0" w:type="auto"/>
            <w:tcBorders>
              <w:top w:val="single" w:sz="12" w:space="0" w:color="DDDDDD"/>
              <w:left w:val="single" w:sz="12" w:space="0" w:color="DDDDDD"/>
            </w:tcBorders>
            <w:shd w:val="clear" w:color="auto" w:fill="F9F9F9"/>
            <w:tcMar>
              <w:top w:w="120" w:type="dxa"/>
              <w:left w:w="120" w:type="dxa"/>
              <w:bottom w:w="120" w:type="dxa"/>
              <w:right w:w="120" w:type="dxa"/>
            </w:tcMar>
            <w:hideMark/>
          </w:tcPr>
          <w:p w:rsidR="00873F3C" w:rsidRPr="00873F3C" w:rsidRDefault="00873F3C" w:rsidP="00873F3C">
            <w:pPr>
              <w:spacing w:after="360" w:line="360" w:lineRule="atLeast"/>
              <w:rPr>
                <w:rFonts w:ascii="Times New Roman" w:eastAsia="Times New Roman" w:hAnsi="Times New Roman" w:cs="Times New Roman"/>
                <w:b/>
                <w:bCs/>
                <w:sz w:val="24"/>
                <w:szCs w:val="24"/>
              </w:rPr>
            </w:pPr>
            <w:r w:rsidRPr="00873F3C">
              <w:rPr>
                <w:rFonts w:ascii="Times New Roman" w:eastAsia="Times New Roman" w:hAnsi="Times New Roman" w:cs="Times New Roman"/>
                <w:b/>
                <w:bCs/>
                <w:sz w:val="24"/>
                <w:szCs w:val="24"/>
              </w:rPr>
              <w:lastRenderedPageBreak/>
              <w:t>dependents</w:t>
            </w:r>
          </w:p>
        </w:tc>
        <w:tc>
          <w:tcPr>
            <w:tcW w:w="0" w:type="auto"/>
            <w:tcBorders>
              <w:top w:val="single" w:sz="12" w:space="0" w:color="DDDDDD"/>
              <w:left w:val="single" w:sz="12" w:space="0" w:color="DDDDDD"/>
            </w:tcBorders>
            <w:shd w:val="clear" w:color="auto" w:fill="F9F9F9"/>
            <w:tcMar>
              <w:top w:w="120" w:type="dxa"/>
              <w:left w:w="120" w:type="dxa"/>
              <w:bottom w:w="120" w:type="dxa"/>
              <w:right w:w="120" w:type="dxa"/>
            </w:tcMar>
            <w:hideMark/>
          </w:tcPr>
          <w:p w:rsidR="00873F3C" w:rsidRPr="00873F3C" w:rsidRDefault="00873F3C" w:rsidP="00873F3C">
            <w:pPr>
              <w:spacing w:after="360" w:line="360" w:lineRule="atLeast"/>
              <w:rPr>
                <w:rFonts w:ascii="Times New Roman" w:eastAsia="Times New Roman" w:hAnsi="Times New Roman" w:cs="Times New Roman"/>
                <w:sz w:val="24"/>
                <w:szCs w:val="24"/>
              </w:rPr>
            </w:pPr>
            <w:r w:rsidRPr="00873F3C">
              <w:rPr>
                <w:rFonts w:ascii="Times New Roman" w:eastAsia="Times New Roman" w:hAnsi="Times New Roman" w:cs="Times New Roman"/>
                <w:sz w:val="24"/>
                <w:szCs w:val="24"/>
              </w:rPr>
              <w:t>2 million</w:t>
            </w:r>
          </w:p>
        </w:tc>
        <w:tc>
          <w:tcPr>
            <w:tcW w:w="0" w:type="auto"/>
            <w:tcBorders>
              <w:top w:val="single" w:sz="12" w:space="0" w:color="DDDDDD"/>
              <w:left w:val="single" w:sz="12" w:space="0" w:color="DDDDDD"/>
            </w:tcBorders>
            <w:shd w:val="clear" w:color="auto" w:fill="F9F9F9"/>
            <w:tcMar>
              <w:top w:w="120" w:type="dxa"/>
              <w:left w:w="120" w:type="dxa"/>
              <w:bottom w:w="120" w:type="dxa"/>
              <w:right w:w="120" w:type="dxa"/>
            </w:tcMar>
            <w:hideMark/>
          </w:tcPr>
          <w:p w:rsidR="00873F3C" w:rsidRPr="00873F3C" w:rsidRDefault="00873F3C" w:rsidP="00873F3C">
            <w:pPr>
              <w:spacing w:after="360" w:line="360" w:lineRule="atLeast"/>
              <w:rPr>
                <w:rFonts w:ascii="Times New Roman" w:eastAsia="Times New Roman" w:hAnsi="Times New Roman" w:cs="Times New Roman"/>
                <w:sz w:val="24"/>
                <w:szCs w:val="24"/>
              </w:rPr>
            </w:pPr>
            <w:r w:rsidRPr="00873F3C">
              <w:rPr>
                <w:rFonts w:ascii="Times New Roman" w:eastAsia="Times New Roman" w:hAnsi="Times New Roman" w:cs="Times New Roman"/>
                <w:sz w:val="24"/>
                <w:szCs w:val="24"/>
              </w:rPr>
              <w:t>$ .69 billion</w:t>
            </w:r>
          </w:p>
        </w:tc>
        <w:tc>
          <w:tcPr>
            <w:tcW w:w="0" w:type="auto"/>
            <w:tcBorders>
              <w:top w:val="single" w:sz="12" w:space="0" w:color="DDDDDD"/>
              <w:left w:val="single" w:sz="12" w:space="0" w:color="DDDDDD"/>
            </w:tcBorders>
            <w:shd w:val="clear" w:color="auto" w:fill="F9F9F9"/>
            <w:tcMar>
              <w:top w:w="120" w:type="dxa"/>
              <w:left w:w="120" w:type="dxa"/>
              <w:bottom w:w="120" w:type="dxa"/>
              <w:right w:w="120" w:type="dxa"/>
            </w:tcMar>
            <w:hideMark/>
          </w:tcPr>
          <w:p w:rsidR="00873F3C" w:rsidRPr="00873F3C" w:rsidRDefault="00873F3C" w:rsidP="00873F3C">
            <w:pPr>
              <w:spacing w:after="360" w:line="360" w:lineRule="atLeast"/>
              <w:rPr>
                <w:rFonts w:ascii="Times New Roman" w:eastAsia="Times New Roman" w:hAnsi="Times New Roman" w:cs="Times New Roman"/>
                <w:sz w:val="24"/>
                <w:szCs w:val="24"/>
              </w:rPr>
            </w:pPr>
            <w:r w:rsidRPr="00873F3C">
              <w:rPr>
                <w:rFonts w:ascii="Times New Roman" w:eastAsia="Times New Roman" w:hAnsi="Times New Roman" w:cs="Times New Roman"/>
                <w:sz w:val="24"/>
                <w:szCs w:val="24"/>
              </w:rPr>
              <w:t> </w:t>
            </w:r>
          </w:p>
        </w:tc>
      </w:tr>
      <w:tr w:rsidR="00873F3C" w:rsidRPr="00873F3C" w:rsidTr="00873F3C">
        <w:trPr>
          <w:tblCellSpacing w:w="15" w:type="dxa"/>
        </w:trPr>
        <w:tc>
          <w:tcPr>
            <w:tcW w:w="0" w:type="auto"/>
            <w:tcBorders>
              <w:top w:val="single" w:sz="12" w:space="0" w:color="DDDDDD"/>
              <w:left w:val="single" w:sz="12" w:space="0" w:color="DDDDDD"/>
            </w:tcBorders>
            <w:shd w:val="clear" w:color="auto" w:fill="auto"/>
            <w:tcMar>
              <w:top w:w="120" w:type="dxa"/>
              <w:left w:w="120" w:type="dxa"/>
              <w:bottom w:w="120" w:type="dxa"/>
              <w:right w:w="120" w:type="dxa"/>
            </w:tcMar>
            <w:hideMark/>
          </w:tcPr>
          <w:p w:rsidR="00873F3C" w:rsidRPr="00873F3C" w:rsidRDefault="00873F3C" w:rsidP="00873F3C">
            <w:pPr>
              <w:spacing w:after="360" w:line="360" w:lineRule="atLeast"/>
              <w:rPr>
                <w:rFonts w:ascii="Times New Roman" w:eastAsia="Times New Roman" w:hAnsi="Times New Roman" w:cs="Times New Roman"/>
                <w:b/>
                <w:bCs/>
                <w:sz w:val="24"/>
                <w:szCs w:val="24"/>
              </w:rPr>
            </w:pPr>
            <w:r w:rsidRPr="00873F3C">
              <w:rPr>
                <w:rFonts w:ascii="Times New Roman" w:eastAsia="Times New Roman" w:hAnsi="Times New Roman" w:cs="Times New Roman"/>
                <w:b/>
                <w:bCs/>
                <w:sz w:val="24"/>
                <w:szCs w:val="24"/>
              </w:rPr>
              <w:t>Survivors</w:t>
            </w:r>
          </w:p>
        </w:tc>
        <w:tc>
          <w:tcPr>
            <w:tcW w:w="0" w:type="auto"/>
            <w:tcBorders>
              <w:top w:val="single" w:sz="12" w:space="0" w:color="DDDDDD"/>
              <w:left w:val="single" w:sz="12" w:space="0" w:color="DDDDDD"/>
            </w:tcBorders>
            <w:shd w:val="clear" w:color="auto" w:fill="auto"/>
            <w:tcMar>
              <w:top w:w="120" w:type="dxa"/>
              <w:left w:w="120" w:type="dxa"/>
              <w:bottom w:w="120" w:type="dxa"/>
              <w:right w:w="120" w:type="dxa"/>
            </w:tcMar>
            <w:hideMark/>
          </w:tcPr>
          <w:p w:rsidR="00873F3C" w:rsidRPr="00873F3C" w:rsidRDefault="00873F3C" w:rsidP="00873F3C">
            <w:pPr>
              <w:spacing w:after="360" w:line="360" w:lineRule="atLeast"/>
              <w:rPr>
                <w:rFonts w:ascii="Times New Roman" w:eastAsia="Times New Roman" w:hAnsi="Times New Roman" w:cs="Times New Roman"/>
                <w:sz w:val="24"/>
                <w:szCs w:val="24"/>
              </w:rPr>
            </w:pPr>
            <w:r w:rsidRPr="00873F3C">
              <w:rPr>
                <w:rFonts w:ascii="Times New Roman" w:eastAsia="Times New Roman" w:hAnsi="Times New Roman" w:cs="Times New Roman"/>
                <w:sz w:val="24"/>
                <w:szCs w:val="24"/>
              </w:rPr>
              <w:t>6.2 million</w:t>
            </w:r>
          </w:p>
        </w:tc>
        <w:tc>
          <w:tcPr>
            <w:tcW w:w="0" w:type="auto"/>
            <w:tcBorders>
              <w:top w:val="single" w:sz="12" w:space="0" w:color="DDDDDD"/>
              <w:left w:val="single" w:sz="12" w:space="0" w:color="DDDDDD"/>
            </w:tcBorders>
            <w:shd w:val="clear" w:color="auto" w:fill="auto"/>
            <w:tcMar>
              <w:top w:w="120" w:type="dxa"/>
              <w:left w:w="120" w:type="dxa"/>
              <w:bottom w:w="120" w:type="dxa"/>
              <w:right w:w="120" w:type="dxa"/>
            </w:tcMar>
            <w:hideMark/>
          </w:tcPr>
          <w:p w:rsidR="00873F3C" w:rsidRPr="00873F3C" w:rsidRDefault="00873F3C" w:rsidP="00873F3C">
            <w:pPr>
              <w:spacing w:after="360" w:line="360" w:lineRule="atLeast"/>
              <w:rPr>
                <w:rFonts w:ascii="Times New Roman" w:eastAsia="Times New Roman" w:hAnsi="Times New Roman" w:cs="Times New Roman"/>
                <w:sz w:val="24"/>
                <w:szCs w:val="24"/>
              </w:rPr>
            </w:pPr>
            <w:r w:rsidRPr="00873F3C">
              <w:rPr>
                <w:rFonts w:ascii="Times New Roman" w:eastAsia="Times New Roman" w:hAnsi="Times New Roman" w:cs="Times New Roman"/>
                <w:sz w:val="24"/>
                <w:szCs w:val="24"/>
              </w:rPr>
              <w:t>$ 6.7 billion</w:t>
            </w:r>
          </w:p>
        </w:tc>
        <w:tc>
          <w:tcPr>
            <w:tcW w:w="0" w:type="auto"/>
            <w:tcBorders>
              <w:top w:val="single" w:sz="12" w:space="0" w:color="DDDDDD"/>
              <w:left w:val="single" w:sz="12" w:space="0" w:color="DDDDDD"/>
            </w:tcBorders>
            <w:shd w:val="clear" w:color="auto" w:fill="auto"/>
            <w:tcMar>
              <w:top w:w="120" w:type="dxa"/>
              <w:left w:w="120" w:type="dxa"/>
              <w:bottom w:w="120" w:type="dxa"/>
              <w:right w:w="120" w:type="dxa"/>
            </w:tcMar>
            <w:hideMark/>
          </w:tcPr>
          <w:p w:rsidR="00873F3C" w:rsidRPr="00873F3C" w:rsidRDefault="00873F3C" w:rsidP="00873F3C">
            <w:pPr>
              <w:spacing w:after="360" w:line="360" w:lineRule="atLeast"/>
              <w:rPr>
                <w:rFonts w:ascii="Times New Roman" w:eastAsia="Times New Roman" w:hAnsi="Times New Roman" w:cs="Times New Roman"/>
                <w:sz w:val="24"/>
                <w:szCs w:val="24"/>
              </w:rPr>
            </w:pPr>
            <w:r w:rsidRPr="00873F3C">
              <w:rPr>
                <w:rFonts w:ascii="Times New Roman" w:eastAsia="Times New Roman" w:hAnsi="Times New Roman" w:cs="Times New Roman"/>
                <w:sz w:val="24"/>
                <w:szCs w:val="24"/>
              </w:rPr>
              <w:t>$1,244 average monthly benefit</w:t>
            </w:r>
          </w:p>
        </w:tc>
      </w:tr>
    </w:tbl>
    <w:p w:rsidR="00873F3C" w:rsidRPr="00873F3C" w:rsidRDefault="00873F3C" w:rsidP="00873F3C">
      <w:pPr>
        <w:shd w:val="clear" w:color="auto" w:fill="FFFFFF"/>
        <w:spacing w:after="240" w:line="360" w:lineRule="atLeast"/>
        <w:rPr>
          <w:rFonts w:ascii="Times New Roman" w:eastAsia="Times New Roman" w:hAnsi="Times New Roman" w:cs="Times New Roman"/>
          <w:color w:val="333333"/>
          <w:sz w:val="24"/>
          <w:szCs w:val="24"/>
        </w:rPr>
      </w:pPr>
      <w:r w:rsidRPr="005E6BE6">
        <w:rPr>
          <w:rFonts w:ascii="Times New Roman" w:eastAsia="Times New Roman" w:hAnsi="Times New Roman" w:cs="Times New Roman"/>
          <w:b/>
          <w:bCs/>
          <w:color w:val="333333"/>
          <w:sz w:val="24"/>
          <w:szCs w:val="24"/>
        </w:rPr>
        <w:t>Social Security is the major source of income for most of the elderly.</w:t>
      </w:r>
    </w:p>
    <w:p w:rsidR="00873F3C" w:rsidRPr="00873F3C" w:rsidRDefault="00873F3C" w:rsidP="00873F3C">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rPr>
      </w:pPr>
      <w:r w:rsidRPr="00873F3C">
        <w:rPr>
          <w:rFonts w:ascii="Times New Roman" w:eastAsia="Times New Roman" w:hAnsi="Times New Roman" w:cs="Times New Roman"/>
          <w:color w:val="333333"/>
          <w:sz w:val="24"/>
          <w:szCs w:val="24"/>
        </w:rPr>
        <w:t>Nine out of ten individuals age 65 and older receive Social Security benefits.</w:t>
      </w:r>
    </w:p>
    <w:p w:rsidR="00873F3C" w:rsidRPr="00873F3C" w:rsidRDefault="00873F3C" w:rsidP="00873F3C">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rPr>
      </w:pPr>
      <w:r w:rsidRPr="00873F3C">
        <w:rPr>
          <w:rFonts w:ascii="Times New Roman" w:eastAsia="Times New Roman" w:hAnsi="Times New Roman" w:cs="Times New Roman"/>
          <w:color w:val="333333"/>
          <w:sz w:val="24"/>
          <w:szCs w:val="24"/>
        </w:rPr>
        <w:t>Social Security benefits represent about 38% of the income of the elderly.</w:t>
      </w:r>
    </w:p>
    <w:p w:rsidR="00873F3C" w:rsidRPr="00873F3C" w:rsidRDefault="00873F3C" w:rsidP="00873F3C">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rPr>
      </w:pPr>
      <w:r w:rsidRPr="00873F3C">
        <w:rPr>
          <w:rFonts w:ascii="Times New Roman" w:eastAsia="Times New Roman" w:hAnsi="Times New Roman" w:cs="Times New Roman"/>
          <w:color w:val="333333"/>
          <w:sz w:val="24"/>
          <w:szCs w:val="24"/>
        </w:rPr>
        <w:t>Among elderly Social Security beneficiaries, 52% of married couples and 74% of unmarried persons receive 50% or more of their income from Social Security.</w:t>
      </w:r>
    </w:p>
    <w:p w:rsidR="00873F3C" w:rsidRPr="005E6BE6" w:rsidRDefault="00873F3C" w:rsidP="00873F3C">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rPr>
      </w:pPr>
      <w:r w:rsidRPr="00873F3C">
        <w:rPr>
          <w:rFonts w:ascii="Times New Roman" w:eastAsia="Times New Roman" w:hAnsi="Times New Roman" w:cs="Times New Roman"/>
          <w:color w:val="333333"/>
          <w:sz w:val="24"/>
          <w:szCs w:val="24"/>
        </w:rPr>
        <w:t>Among elderly Social Security beneficiaries, 22% of married couples and about 47% of unmarried persons rely on Social Security for 90% or more of their income.</w:t>
      </w:r>
    </w:p>
    <w:p w:rsidR="00873F3C" w:rsidRPr="005E6BE6" w:rsidRDefault="00873F3C" w:rsidP="00873F3C">
      <w:pPr>
        <w:shd w:val="clear" w:color="auto" w:fill="FFFFFF"/>
        <w:spacing w:before="100" w:beforeAutospacing="1" w:after="100" w:afterAutospacing="1" w:line="360" w:lineRule="atLeast"/>
        <w:rPr>
          <w:rFonts w:ascii="Times New Roman" w:hAnsi="Times New Roman" w:cs="Times New Roman"/>
          <w:sz w:val="24"/>
          <w:szCs w:val="24"/>
        </w:rPr>
      </w:pPr>
      <w:r w:rsidRPr="005E6BE6">
        <w:rPr>
          <w:rFonts w:ascii="Times New Roman" w:hAnsi="Times New Roman" w:cs="Times New Roman"/>
          <w:color w:val="222222"/>
          <w:sz w:val="24"/>
          <w:szCs w:val="24"/>
          <w:shd w:val="clear" w:color="auto" w:fill="FFFFFF"/>
        </w:rPr>
        <w:t xml:space="preserve">.  </w:t>
      </w:r>
      <w:r w:rsidRPr="005E6BE6">
        <w:rPr>
          <w:rFonts w:ascii="Times New Roman" w:hAnsi="Times New Roman" w:cs="Times New Roman"/>
          <w:sz w:val="24"/>
          <w:szCs w:val="24"/>
        </w:rPr>
        <w:t>How positive or negative in its overall effects?</w:t>
      </w:r>
    </w:p>
    <w:p w:rsidR="005C458D" w:rsidRPr="005E6BE6" w:rsidRDefault="005C458D" w:rsidP="00873F3C">
      <w:p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rPr>
      </w:pPr>
    </w:p>
    <w:p w:rsidR="00873F3C" w:rsidRPr="005E6BE6" w:rsidRDefault="00873F3C" w:rsidP="00873F3C">
      <w:p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rPr>
      </w:pPr>
    </w:p>
    <w:p w:rsidR="00873F3C" w:rsidRPr="005E6BE6" w:rsidRDefault="00873F3C" w:rsidP="00873F3C">
      <w:p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rPr>
      </w:pPr>
    </w:p>
    <w:p w:rsidR="00873F3C" w:rsidRPr="005E6BE6" w:rsidRDefault="00873F3C" w:rsidP="00873F3C">
      <w:pPr>
        <w:rPr>
          <w:rFonts w:ascii="Times New Roman" w:hAnsi="Times New Roman" w:cs="Times New Roman"/>
          <w:sz w:val="24"/>
          <w:szCs w:val="24"/>
        </w:rPr>
      </w:pPr>
    </w:p>
    <w:p w:rsidR="00873F3C" w:rsidRPr="005E6BE6" w:rsidRDefault="005C458D" w:rsidP="005C458D">
      <w:pPr>
        <w:pStyle w:val="Heading2"/>
        <w:numPr>
          <w:ilvl w:val="0"/>
          <w:numId w:val="1"/>
        </w:numPr>
        <w:shd w:val="clear" w:color="auto" w:fill="FFFFFF"/>
        <w:spacing w:before="0" w:beforeAutospacing="0" w:after="150" w:afterAutospacing="0" w:line="615" w:lineRule="atLeast"/>
        <w:textAlignment w:val="baseline"/>
        <w:rPr>
          <w:b w:val="0"/>
          <w:bCs w:val="0"/>
          <w:color w:val="1A3863"/>
          <w:sz w:val="24"/>
          <w:szCs w:val="24"/>
        </w:rPr>
      </w:pPr>
      <w:r w:rsidRPr="005E6BE6">
        <w:rPr>
          <w:sz w:val="24"/>
          <w:szCs w:val="24"/>
        </w:rPr>
        <w:t xml:space="preserve"> </w:t>
      </w:r>
      <w:r w:rsidR="00873F3C" w:rsidRPr="005E6BE6">
        <w:rPr>
          <w:sz w:val="24"/>
          <w:szCs w:val="24"/>
        </w:rPr>
        <w:t xml:space="preserve">Medicaid Benefits granted through federal and state tax dollars.  </w:t>
      </w:r>
      <w:r w:rsidR="00873F3C" w:rsidRPr="005E6BE6">
        <w:rPr>
          <w:b w:val="0"/>
          <w:bCs w:val="0"/>
          <w:color w:val="1A3863"/>
          <w:sz w:val="24"/>
          <w:szCs w:val="24"/>
        </w:rPr>
        <w:t>Total Monthly Medicaid and CHIP Enrollment</w:t>
      </w:r>
    </w:p>
    <w:p w:rsidR="00873F3C" w:rsidRPr="00873F3C" w:rsidRDefault="00873F3C" w:rsidP="00873F3C">
      <w:pPr>
        <w:shd w:val="clear" w:color="auto" w:fill="FFFFFF"/>
        <w:spacing w:after="0" w:line="330" w:lineRule="atLeast"/>
        <w:textAlignment w:val="baseline"/>
        <w:rPr>
          <w:rFonts w:ascii="Times New Roman" w:eastAsia="Times New Roman" w:hAnsi="Times New Roman" w:cs="Times New Roman"/>
          <w:color w:val="000000"/>
          <w:sz w:val="24"/>
          <w:szCs w:val="24"/>
        </w:rPr>
      </w:pPr>
      <w:hyperlink r:id="rId6" w:history="1">
        <w:r w:rsidRPr="005E6BE6">
          <w:rPr>
            <w:rFonts w:ascii="Times New Roman" w:eastAsia="Times New Roman" w:hAnsi="Times New Roman" w:cs="Times New Roman"/>
            <w:color w:val="0990D1"/>
            <w:sz w:val="24"/>
            <w:szCs w:val="24"/>
            <w:bdr w:val="single" w:sz="6" w:space="3" w:color="C3C3C3" w:frame="1"/>
            <w:shd w:val="clear" w:color="auto" w:fill="E7E7E7"/>
          </w:rPr>
          <w:t>View Table in New Window</w:t>
        </w:r>
      </w:hyperlink>
    </w:p>
    <w:tbl>
      <w:tblPr>
        <w:tblW w:w="10800" w:type="dxa"/>
        <w:tblCellSpacing w:w="15" w:type="dxa"/>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2082"/>
        <w:gridCol w:w="3273"/>
        <w:gridCol w:w="3675"/>
        <w:gridCol w:w="1770"/>
      </w:tblGrid>
      <w:tr w:rsidR="00873F3C" w:rsidRPr="00873F3C" w:rsidTr="00873F3C">
        <w:trPr>
          <w:tblHeader/>
          <w:tblCellSpacing w:w="15" w:type="dxa"/>
        </w:trPr>
        <w:tc>
          <w:tcPr>
            <w:tcW w:w="0" w:type="auto"/>
            <w:tcBorders>
              <w:top w:val="nil"/>
              <w:left w:val="nil"/>
              <w:bottom w:val="single" w:sz="6" w:space="0" w:color="CCCCCC"/>
              <w:right w:val="single" w:sz="6" w:space="0" w:color="CCCCCC"/>
            </w:tcBorders>
            <w:shd w:val="clear" w:color="auto" w:fill="DDDDDD"/>
            <w:tcMar>
              <w:top w:w="75" w:type="dxa"/>
              <w:left w:w="150" w:type="dxa"/>
              <w:bottom w:w="75" w:type="dxa"/>
              <w:right w:w="300" w:type="dxa"/>
            </w:tcMar>
            <w:vAlign w:val="bottom"/>
            <w:hideMark/>
          </w:tcPr>
          <w:p w:rsidR="00873F3C" w:rsidRPr="00873F3C" w:rsidRDefault="00873F3C" w:rsidP="00873F3C">
            <w:pPr>
              <w:spacing w:after="0" w:line="240" w:lineRule="atLeast"/>
              <w:rPr>
                <w:rFonts w:ascii="Times New Roman" w:eastAsia="Times New Roman" w:hAnsi="Times New Roman" w:cs="Times New Roman"/>
                <w:b/>
                <w:bCs/>
                <w:color w:val="464646"/>
                <w:sz w:val="24"/>
                <w:szCs w:val="24"/>
              </w:rPr>
            </w:pPr>
            <w:r w:rsidRPr="005E6BE6">
              <w:rPr>
                <w:rFonts w:ascii="Times New Roman" w:eastAsia="Times New Roman" w:hAnsi="Times New Roman" w:cs="Times New Roman"/>
                <w:b/>
                <w:bCs/>
                <w:color w:val="464646"/>
                <w:sz w:val="24"/>
                <w:szCs w:val="24"/>
                <w:bdr w:val="none" w:sz="0" w:space="0" w:color="auto" w:frame="1"/>
              </w:rPr>
              <w:t>Location</w:t>
            </w:r>
          </w:p>
        </w:tc>
        <w:tc>
          <w:tcPr>
            <w:tcW w:w="0" w:type="auto"/>
            <w:tcBorders>
              <w:top w:val="nil"/>
              <w:left w:val="nil"/>
              <w:bottom w:val="single" w:sz="6" w:space="0" w:color="CCCCCC"/>
              <w:right w:val="single" w:sz="6" w:space="0" w:color="CCCCCC"/>
            </w:tcBorders>
            <w:shd w:val="clear" w:color="auto" w:fill="DDDDDD"/>
            <w:tcMar>
              <w:top w:w="75" w:type="dxa"/>
              <w:left w:w="150" w:type="dxa"/>
              <w:bottom w:w="75" w:type="dxa"/>
              <w:right w:w="300" w:type="dxa"/>
            </w:tcMar>
            <w:vAlign w:val="bottom"/>
            <w:hideMark/>
          </w:tcPr>
          <w:p w:rsidR="00873F3C" w:rsidRPr="00873F3C" w:rsidRDefault="00873F3C" w:rsidP="00873F3C">
            <w:pPr>
              <w:spacing w:after="0" w:line="240" w:lineRule="atLeast"/>
              <w:rPr>
                <w:rFonts w:ascii="Times New Roman" w:eastAsia="Times New Roman" w:hAnsi="Times New Roman" w:cs="Times New Roman"/>
                <w:b/>
                <w:bCs/>
                <w:color w:val="464646"/>
                <w:sz w:val="24"/>
                <w:szCs w:val="24"/>
              </w:rPr>
            </w:pPr>
            <w:r w:rsidRPr="005E6BE6">
              <w:rPr>
                <w:rFonts w:ascii="Times New Roman" w:eastAsia="Times New Roman" w:hAnsi="Times New Roman" w:cs="Times New Roman"/>
                <w:b/>
                <w:bCs/>
                <w:color w:val="464646"/>
                <w:sz w:val="24"/>
                <w:szCs w:val="24"/>
                <w:bdr w:val="none" w:sz="0" w:space="0" w:color="auto" w:frame="1"/>
              </w:rPr>
              <w:t>Pre-ACA Average Monthly Enrollment</w:t>
            </w:r>
          </w:p>
        </w:tc>
        <w:tc>
          <w:tcPr>
            <w:tcW w:w="0" w:type="auto"/>
            <w:tcBorders>
              <w:top w:val="nil"/>
              <w:left w:val="nil"/>
              <w:bottom w:val="single" w:sz="6" w:space="0" w:color="CCCCCC"/>
              <w:right w:val="single" w:sz="6" w:space="0" w:color="CCCCCC"/>
            </w:tcBorders>
            <w:shd w:val="clear" w:color="auto" w:fill="DDDDDD"/>
            <w:tcMar>
              <w:top w:w="75" w:type="dxa"/>
              <w:left w:w="150" w:type="dxa"/>
              <w:bottom w:w="75" w:type="dxa"/>
              <w:right w:w="300" w:type="dxa"/>
            </w:tcMar>
            <w:vAlign w:val="bottom"/>
            <w:hideMark/>
          </w:tcPr>
          <w:p w:rsidR="00873F3C" w:rsidRPr="00873F3C" w:rsidRDefault="00873F3C" w:rsidP="00873F3C">
            <w:pPr>
              <w:spacing w:after="0" w:line="240" w:lineRule="atLeast"/>
              <w:rPr>
                <w:rFonts w:ascii="Times New Roman" w:eastAsia="Times New Roman" w:hAnsi="Times New Roman" w:cs="Times New Roman"/>
                <w:b/>
                <w:bCs/>
                <w:color w:val="464646"/>
                <w:sz w:val="24"/>
                <w:szCs w:val="24"/>
              </w:rPr>
            </w:pPr>
            <w:r w:rsidRPr="005E6BE6">
              <w:rPr>
                <w:rFonts w:ascii="Times New Roman" w:eastAsia="Times New Roman" w:hAnsi="Times New Roman" w:cs="Times New Roman"/>
                <w:b/>
                <w:bCs/>
                <w:color w:val="464646"/>
                <w:sz w:val="24"/>
                <w:szCs w:val="24"/>
                <w:bdr w:val="none" w:sz="0" w:space="0" w:color="auto" w:frame="1"/>
              </w:rPr>
              <w:t>Total Monthly Medicaid/CHIP Enrollment</w:t>
            </w:r>
          </w:p>
        </w:tc>
        <w:tc>
          <w:tcPr>
            <w:tcW w:w="0" w:type="auto"/>
            <w:tcBorders>
              <w:top w:val="nil"/>
              <w:left w:val="nil"/>
              <w:bottom w:val="single" w:sz="6" w:space="0" w:color="CCCCCC"/>
              <w:right w:val="single" w:sz="6" w:space="0" w:color="CCCCCC"/>
            </w:tcBorders>
            <w:shd w:val="clear" w:color="auto" w:fill="DDDDDD"/>
            <w:tcMar>
              <w:top w:w="75" w:type="dxa"/>
              <w:left w:w="150" w:type="dxa"/>
              <w:bottom w:w="75" w:type="dxa"/>
              <w:right w:w="300" w:type="dxa"/>
            </w:tcMar>
            <w:vAlign w:val="bottom"/>
            <w:hideMark/>
          </w:tcPr>
          <w:p w:rsidR="00873F3C" w:rsidRPr="00873F3C" w:rsidRDefault="00873F3C" w:rsidP="00873F3C">
            <w:pPr>
              <w:spacing w:after="0" w:line="240" w:lineRule="atLeast"/>
              <w:rPr>
                <w:rFonts w:ascii="Times New Roman" w:eastAsia="Times New Roman" w:hAnsi="Times New Roman" w:cs="Times New Roman"/>
                <w:b/>
                <w:bCs/>
                <w:color w:val="464646"/>
                <w:sz w:val="24"/>
                <w:szCs w:val="24"/>
              </w:rPr>
            </w:pPr>
            <w:r w:rsidRPr="005E6BE6">
              <w:rPr>
                <w:rFonts w:ascii="Times New Roman" w:eastAsia="Times New Roman" w:hAnsi="Times New Roman" w:cs="Times New Roman"/>
                <w:b/>
                <w:bCs/>
                <w:color w:val="464646"/>
                <w:sz w:val="24"/>
                <w:szCs w:val="24"/>
                <w:bdr w:val="none" w:sz="0" w:space="0" w:color="auto" w:frame="1"/>
              </w:rPr>
              <w:t>Percent Change</w:t>
            </w:r>
          </w:p>
        </w:tc>
      </w:tr>
      <w:tr w:rsidR="00873F3C" w:rsidRPr="00873F3C" w:rsidTr="00873F3C">
        <w:trPr>
          <w:tblCellSpacing w:w="15" w:type="dxa"/>
        </w:trPr>
        <w:tc>
          <w:tcPr>
            <w:tcW w:w="0" w:type="auto"/>
            <w:tcBorders>
              <w:top w:val="nil"/>
              <w:left w:val="nil"/>
              <w:bottom w:val="single" w:sz="6" w:space="0" w:color="CCCCCC"/>
              <w:right w:val="single" w:sz="6" w:space="0" w:color="CCCCCC"/>
            </w:tcBorders>
            <w:shd w:val="clear" w:color="auto" w:fill="EFEFEF"/>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b/>
                <w:bCs/>
                <w:color w:val="464646"/>
                <w:sz w:val="24"/>
                <w:szCs w:val="24"/>
              </w:rPr>
            </w:pPr>
            <w:r w:rsidRPr="00873F3C">
              <w:rPr>
                <w:rFonts w:ascii="Times New Roman" w:eastAsia="Times New Roman" w:hAnsi="Times New Roman" w:cs="Times New Roman"/>
                <w:b/>
                <w:bCs/>
                <w:color w:val="464646"/>
                <w:sz w:val="24"/>
                <w:szCs w:val="24"/>
              </w:rPr>
              <w:t>United States</w:t>
            </w:r>
          </w:p>
        </w:tc>
        <w:tc>
          <w:tcPr>
            <w:tcW w:w="0" w:type="auto"/>
            <w:tcBorders>
              <w:top w:val="nil"/>
              <w:left w:val="nil"/>
              <w:bottom w:val="single" w:sz="6" w:space="0" w:color="CCCCCC"/>
              <w:right w:val="single" w:sz="6" w:space="0" w:color="CCCCCC"/>
            </w:tcBorders>
            <w:shd w:val="clear" w:color="auto" w:fill="EFEFEF"/>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b/>
                <w:bCs/>
                <w:color w:val="464646"/>
                <w:sz w:val="24"/>
                <w:szCs w:val="24"/>
              </w:rPr>
            </w:pPr>
            <w:r w:rsidRPr="00873F3C">
              <w:rPr>
                <w:rFonts w:ascii="Times New Roman" w:eastAsia="Times New Roman" w:hAnsi="Times New Roman" w:cs="Times New Roman"/>
                <w:b/>
                <w:bCs/>
                <w:color w:val="464646"/>
                <w:sz w:val="24"/>
                <w:szCs w:val="24"/>
              </w:rPr>
              <w:t>57,807,872</w:t>
            </w:r>
          </w:p>
        </w:tc>
        <w:tc>
          <w:tcPr>
            <w:tcW w:w="0" w:type="auto"/>
            <w:tcBorders>
              <w:top w:val="nil"/>
              <w:left w:val="nil"/>
              <w:bottom w:val="single" w:sz="6" w:space="0" w:color="CCCCCC"/>
              <w:right w:val="single" w:sz="6" w:space="0" w:color="CCCCCC"/>
            </w:tcBorders>
            <w:shd w:val="clear" w:color="auto" w:fill="EFEFEF"/>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b/>
                <w:bCs/>
                <w:color w:val="464646"/>
                <w:sz w:val="24"/>
                <w:szCs w:val="24"/>
              </w:rPr>
            </w:pPr>
            <w:r w:rsidRPr="00873F3C">
              <w:rPr>
                <w:rFonts w:ascii="Times New Roman" w:eastAsia="Times New Roman" w:hAnsi="Times New Roman" w:cs="Times New Roman"/>
                <w:b/>
                <w:bCs/>
                <w:color w:val="464646"/>
                <w:sz w:val="24"/>
                <w:szCs w:val="24"/>
              </w:rPr>
              <w:t>69,975,289</w:t>
            </w:r>
          </w:p>
        </w:tc>
        <w:tc>
          <w:tcPr>
            <w:tcW w:w="0" w:type="auto"/>
            <w:tcBorders>
              <w:top w:val="nil"/>
              <w:left w:val="nil"/>
              <w:bottom w:val="single" w:sz="6" w:space="0" w:color="CCCCCC"/>
              <w:right w:val="single" w:sz="6" w:space="0" w:color="CCCCCC"/>
            </w:tcBorders>
            <w:shd w:val="clear" w:color="auto" w:fill="EFEFEF"/>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b/>
                <w:bCs/>
                <w:color w:val="464646"/>
                <w:sz w:val="24"/>
                <w:szCs w:val="24"/>
              </w:rPr>
            </w:pPr>
            <w:r w:rsidRPr="00873F3C">
              <w:rPr>
                <w:rFonts w:ascii="Times New Roman" w:eastAsia="Times New Roman" w:hAnsi="Times New Roman" w:cs="Times New Roman"/>
                <w:b/>
                <w:bCs/>
                <w:color w:val="464646"/>
                <w:sz w:val="24"/>
                <w:szCs w:val="24"/>
              </w:rPr>
              <w:t>19%</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Alabama</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799,176</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873,954</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9%</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lastRenderedPageBreak/>
              <w:t>Alaska</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122,334</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121,867</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0%</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Arizona</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1,201,770</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1,482,316</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23%</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Arkansas</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556,851</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824,529</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48%</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California</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9,157,000</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12,170,138</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33%</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Colorado</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783,420</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1,195,042</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53%</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Connecticut</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N/A</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733,590</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N/A</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Delaware</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223,324</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235,775</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6%</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District of Columbia</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235,786</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256,383</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9%</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Florida</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3,104,996</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3,404,156</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10%</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Georgia</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1,535,090</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1,724,033</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12%</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Hawaii</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288,357</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314,503</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9%</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Idaho</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251,926</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288,402</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14%</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Illinois</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2,626,943</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3,101,946</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18%</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Indiana</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1,120,674</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1,198,066</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7%</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Iowa</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493,515</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512,533</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4%</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Kansas</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378,160</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404,608</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7%</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Kentucky</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606,805</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1,099,327</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81%</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Louisiana</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1,019,787</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1,053,090</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3%</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Maine</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N/A</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282,359</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N/A</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Maryland</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856,297</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1,152,248</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35%</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Massachusetts</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1,296,359</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1,619,824</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25%</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Michigan</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1,912,009</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2,233,070</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17%</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Minnesota</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873,040</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1,037,554</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19%</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Mississippi</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637,229</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711,782</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12%</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Missouri</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846,084</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863,651</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lastRenderedPageBreak/>
              <w:t>Montana</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148,974</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165,604</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11%</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Nebraska</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244,600</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235,523</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-4%</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Nevada</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332,560</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541,334</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63%</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New Hampshire</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127,082</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169,747</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34%</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New Jersey</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1,283,851</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1,667,815</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30%</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New Mexico</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457,678</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687,829</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50%</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New York</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5,678,417</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6,247,440</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10%</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North Carolina</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1,595,952</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1,835,638</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15%</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North Dakota</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69,980</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86,220</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23%</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Ohio</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2,341,481</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2,928,588</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25%</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Oklahoma</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790,051</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808,807</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Oregon</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626,356</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1,036,190</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65%</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Pennsylvania</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2,386,046</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2,493,851</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5%</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Rhode Island</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190,833</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267,466</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40%</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South Carolina</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889,744</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983,275</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11%</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South Dakota</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115,501</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117,687</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Tennessee</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1,244,516</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1,433,932</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15%</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Texas</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4,441,605</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4,651,139</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5%</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Utah</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294,029</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293,359</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0%</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Vermont</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161,081</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179,514</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11%</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Virginia</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935,434</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968,216</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4%</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Washington</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1,117,576</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1,645,727</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47%</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West Virginia</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354,544</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524,569</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48%</w:t>
            </w:r>
          </w:p>
        </w:tc>
      </w:tr>
      <w:tr w:rsidR="00873F3C" w:rsidRPr="00873F3C"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Wisconsin</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985,531</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1,042,496</w:t>
            </w: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6%</w:t>
            </w:r>
          </w:p>
        </w:tc>
      </w:tr>
      <w:tr w:rsidR="00873F3C" w:rsidRPr="00873F3C" w:rsidTr="005C458D">
        <w:trPr>
          <w:tblCellSpacing w:w="15" w:type="dxa"/>
        </w:trPr>
        <w:tc>
          <w:tcPr>
            <w:tcW w:w="0" w:type="auto"/>
            <w:tcBorders>
              <w:top w:val="nil"/>
              <w:left w:val="nil"/>
              <w:bottom w:val="nil"/>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Wyoming</w:t>
            </w:r>
          </w:p>
        </w:tc>
        <w:tc>
          <w:tcPr>
            <w:tcW w:w="0" w:type="auto"/>
            <w:tcBorders>
              <w:top w:val="nil"/>
              <w:left w:val="nil"/>
              <w:bottom w:val="nil"/>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67,518</w:t>
            </w:r>
          </w:p>
        </w:tc>
        <w:tc>
          <w:tcPr>
            <w:tcW w:w="0" w:type="auto"/>
            <w:tcBorders>
              <w:top w:val="nil"/>
              <w:left w:val="nil"/>
              <w:bottom w:val="nil"/>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68,577</w:t>
            </w:r>
          </w:p>
        </w:tc>
        <w:tc>
          <w:tcPr>
            <w:tcW w:w="0" w:type="auto"/>
            <w:tcBorders>
              <w:top w:val="nil"/>
              <w:left w:val="nil"/>
              <w:bottom w:val="nil"/>
              <w:right w:val="single" w:sz="6" w:space="0" w:color="CCCCCC"/>
            </w:tcBorders>
            <w:tcMar>
              <w:top w:w="75" w:type="dxa"/>
              <w:left w:w="150" w:type="dxa"/>
              <w:bottom w:w="75" w:type="dxa"/>
              <w:right w:w="150" w:type="dxa"/>
            </w:tcMar>
            <w:vAlign w:val="center"/>
            <w:hideMark/>
          </w:tcPr>
          <w:p w:rsidR="00873F3C" w:rsidRPr="00873F3C" w:rsidRDefault="00873F3C" w:rsidP="00873F3C">
            <w:pPr>
              <w:spacing w:after="0" w:line="240" w:lineRule="atLeast"/>
              <w:rPr>
                <w:rFonts w:ascii="Times New Roman" w:eastAsia="Times New Roman" w:hAnsi="Times New Roman" w:cs="Times New Roman"/>
                <w:color w:val="464646"/>
                <w:sz w:val="24"/>
                <w:szCs w:val="24"/>
              </w:rPr>
            </w:pPr>
            <w:r w:rsidRPr="00873F3C">
              <w:rPr>
                <w:rFonts w:ascii="Times New Roman" w:eastAsia="Times New Roman" w:hAnsi="Times New Roman" w:cs="Times New Roman"/>
                <w:color w:val="464646"/>
                <w:sz w:val="24"/>
                <w:szCs w:val="24"/>
              </w:rPr>
              <w:t>2%</w:t>
            </w:r>
          </w:p>
        </w:tc>
      </w:tr>
      <w:tr w:rsidR="005C458D" w:rsidRPr="005E6BE6" w:rsidTr="00873F3C">
        <w:trPr>
          <w:tblCellSpacing w:w="15" w:type="dxa"/>
        </w:trPr>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tcPr>
          <w:p w:rsidR="005C458D" w:rsidRPr="005E6BE6" w:rsidRDefault="005C458D" w:rsidP="00873F3C">
            <w:pPr>
              <w:spacing w:after="0" w:line="240" w:lineRule="atLeast"/>
              <w:rPr>
                <w:rFonts w:ascii="Times New Roman" w:eastAsia="Times New Roman" w:hAnsi="Times New Roman" w:cs="Times New Roman"/>
                <w:color w:val="464646"/>
                <w:sz w:val="24"/>
                <w:szCs w:val="24"/>
              </w:rPr>
            </w:pP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tcPr>
          <w:p w:rsidR="005C458D" w:rsidRPr="005E6BE6" w:rsidRDefault="005C458D" w:rsidP="00873F3C">
            <w:pPr>
              <w:spacing w:after="0" w:line="240" w:lineRule="atLeast"/>
              <w:rPr>
                <w:rFonts w:ascii="Times New Roman" w:eastAsia="Times New Roman" w:hAnsi="Times New Roman" w:cs="Times New Roman"/>
                <w:color w:val="464646"/>
                <w:sz w:val="24"/>
                <w:szCs w:val="24"/>
              </w:rPr>
            </w:pP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tcPr>
          <w:p w:rsidR="005C458D" w:rsidRPr="005E6BE6" w:rsidRDefault="005C458D" w:rsidP="00873F3C">
            <w:pPr>
              <w:spacing w:after="0" w:line="240" w:lineRule="atLeast"/>
              <w:rPr>
                <w:rFonts w:ascii="Times New Roman" w:eastAsia="Times New Roman" w:hAnsi="Times New Roman" w:cs="Times New Roman"/>
                <w:color w:val="464646"/>
                <w:sz w:val="24"/>
                <w:szCs w:val="24"/>
              </w:rPr>
            </w:pPr>
          </w:p>
        </w:tc>
        <w:tc>
          <w:tcPr>
            <w:tcW w:w="0" w:type="auto"/>
            <w:tcBorders>
              <w:top w:val="nil"/>
              <w:left w:val="nil"/>
              <w:bottom w:val="single" w:sz="6" w:space="0" w:color="CCCCCC"/>
              <w:right w:val="single" w:sz="6" w:space="0" w:color="CCCCCC"/>
            </w:tcBorders>
            <w:tcMar>
              <w:top w:w="75" w:type="dxa"/>
              <w:left w:w="150" w:type="dxa"/>
              <w:bottom w:w="75" w:type="dxa"/>
              <w:right w:w="150" w:type="dxa"/>
            </w:tcMar>
            <w:vAlign w:val="center"/>
          </w:tcPr>
          <w:p w:rsidR="005C458D" w:rsidRPr="005E6BE6" w:rsidRDefault="005C458D" w:rsidP="00873F3C">
            <w:pPr>
              <w:spacing w:after="0" w:line="240" w:lineRule="atLeast"/>
              <w:rPr>
                <w:rFonts w:ascii="Times New Roman" w:eastAsia="Times New Roman" w:hAnsi="Times New Roman" w:cs="Times New Roman"/>
                <w:color w:val="464646"/>
                <w:sz w:val="24"/>
                <w:szCs w:val="24"/>
              </w:rPr>
            </w:pPr>
          </w:p>
        </w:tc>
      </w:tr>
    </w:tbl>
    <w:p w:rsidR="00873F3C" w:rsidRPr="005E6BE6" w:rsidRDefault="005C458D" w:rsidP="005C458D">
      <w:pPr>
        <w:rPr>
          <w:rFonts w:ascii="Times New Roman" w:hAnsi="Times New Roman" w:cs="Times New Roman"/>
          <w:sz w:val="24"/>
          <w:szCs w:val="24"/>
        </w:rPr>
      </w:pPr>
      <w:r w:rsidRPr="005E6BE6">
        <w:rPr>
          <w:rFonts w:ascii="Times New Roman" w:hAnsi="Times New Roman" w:cs="Times New Roman"/>
          <w:sz w:val="24"/>
          <w:szCs w:val="24"/>
        </w:rPr>
        <w:t>How positive or negative in its overall effects?</w:t>
      </w:r>
    </w:p>
    <w:p w:rsidR="00873F3C" w:rsidRPr="005E6BE6" w:rsidRDefault="00873F3C" w:rsidP="00873F3C">
      <w:pPr>
        <w:rPr>
          <w:rFonts w:ascii="Times New Roman" w:hAnsi="Times New Roman" w:cs="Times New Roman"/>
          <w:sz w:val="24"/>
          <w:szCs w:val="24"/>
        </w:rPr>
      </w:pPr>
    </w:p>
    <w:p w:rsidR="00086D61" w:rsidRPr="005E6BE6" w:rsidRDefault="005C458D" w:rsidP="00086D61">
      <w:pPr>
        <w:pStyle w:val="ListParagraph"/>
        <w:numPr>
          <w:ilvl w:val="0"/>
          <w:numId w:val="1"/>
        </w:numPr>
        <w:rPr>
          <w:rFonts w:ascii="Times New Roman" w:hAnsi="Times New Roman" w:cs="Times New Roman"/>
          <w:sz w:val="24"/>
          <w:szCs w:val="24"/>
        </w:rPr>
      </w:pPr>
      <w:r w:rsidRPr="005E6BE6">
        <w:rPr>
          <w:rFonts w:ascii="Times New Roman" w:hAnsi="Times New Roman" w:cs="Times New Roman"/>
          <w:sz w:val="24"/>
          <w:szCs w:val="24"/>
        </w:rPr>
        <w:t>Benefits for Farmers and Others (Food Stamps) through the Farm Support Law</w:t>
      </w:r>
    </w:p>
    <w:p w:rsidR="005C458D" w:rsidRPr="005E6BE6" w:rsidRDefault="005C458D" w:rsidP="005C458D">
      <w:pPr>
        <w:pStyle w:val="Heading2"/>
        <w:pBdr>
          <w:bottom w:val="single" w:sz="12" w:space="5" w:color="483E36"/>
        </w:pBdr>
        <w:shd w:val="clear" w:color="auto" w:fill="FFFFFF"/>
        <w:spacing w:before="120" w:beforeAutospacing="0" w:after="120" w:afterAutospacing="0"/>
        <w:rPr>
          <w:b w:val="0"/>
          <w:bCs w:val="0"/>
          <w:color w:val="430266"/>
          <w:sz w:val="24"/>
          <w:szCs w:val="24"/>
        </w:rPr>
      </w:pPr>
      <w:r w:rsidRPr="005E6BE6">
        <w:rPr>
          <w:b w:val="0"/>
          <w:bCs w:val="0"/>
          <w:color w:val="430266"/>
          <w:sz w:val="24"/>
          <w:szCs w:val="24"/>
        </w:rPr>
        <w:t>How much does the Farm Bill cost?</w:t>
      </w:r>
    </w:p>
    <w:p w:rsidR="005C458D" w:rsidRPr="005E6BE6" w:rsidRDefault="005C458D" w:rsidP="005C458D">
      <w:pPr>
        <w:pStyle w:val="NormalWeb"/>
        <w:shd w:val="clear" w:color="auto" w:fill="FFFFFF"/>
        <w:spacing w:before="0" w:beforeAutospacing="0" w:after="300" w:afterAutospacing="0"/>
        <w:rPr>
          <w:color w:val="493F36"/>
        </w:rPr>
      </w:pPr>
      <w:r w:rsidRPr="005E6BE6">
        <w:rPr>
          <w:color w:val="493F36"/>
        </w:rPr>
        <w:t>The 2014 Farm Bill provided $489 billion in mandatory spending over the next five years (this figure does not include discretionary spending measures that are approved separately). Nutrition programs account for 80% of spending, followed by crop insurance (8%), conservation (6%), and commodity programs (5%). The remaining one percent included trade subsidies, rural development, research, forestry, energy, livestock, and horticulture/organic agriculture.</w:t>
      </w:r>
    </w:p>
    <w:p w:rsidR="005C458D" w:rsidRPr="005E6BE6" w:rsidRDefault="005C458D" w:rsidP="005C458D">
      <w:pPr>
        <w:pStyle w:val="NormalWeb"/>
        <w:shd w:val="clear" w:color="auto" w:fill="FFFFFF"/>
        <w:spacing w:before="0" w:beforeAutospacing="0" w:after="300" w:afterAutospacing="0"/>
        <w:rPr>
          <w:color w:val="493F36"/>
        </w:rPr>
      </w:pPr>
      <w:r w:rsidRPr="005E6BE6">
        <w:rPr>
          <w:noProof/>
          <w:color w:val="493F36"/>
        </w:rPr>
        <w:drawing>
          <wp:inline distT="0" distB="0" distL="0" distR="0" wp14:anchorId="08FD45CB" wp14:editId="776B2AD4">
            <wp:extent cx="1905000" cy="2247900"/>
            <wp:effectExtent l="0" t="0" r="0" b="0"/>
            <wp:docPr id="1" name="Picture 1" descr="http://snaptohealth.browsermedia.com/wp-content/uploads/2011/09/farm-bill-a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ptohealth.browsermedia.com/wp-content/uploads/2011/09/farm-bill-alocati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247900"/>
                    </a:xfrm>
                    <a:prstGeom prst="rect">
                      <a:avLst/>
                    </a:prstGeom>
                    <a:noFill/>
                    <a:ln>
                      <a:noFill/>
                    </a:ln>
                  </pic:spPr>
                </pic:pic>
              </a:graphicData>
            </a:graphic>
          </wp:inline>
        </w:drawing>
      </w:r>
    </w:p>
    <w:p w:rsidR="005C458D" w:rsidRPr="005E6BE6" w:rsidRDefault="005C458D" w:rsidP="005C458D">
      <w:pPr>
        <w:pStyle w:val="NormalWeb"/>
        <w:shd w:val="clear" w:color="auto" w:fill="FFFFFF"/>
        <w:spacing w:before="0" w:beforeAutospacing="0" w:after="300" w:afterAutospacing="0"/>
        <w:rPr>
          <w:color w:val="493F36"/>
        </w:rPr>
      </w:pPr>
      <w:r w:rsidRPr="005E6BE6">
        <w:rPr>
          <w:color w:val="493F36"/>
        </w:rPr>
        <w:t>According to the Congressional Research Service, the 2014 Farm Bill restructures support for traditional commodity crops—grains, oilseeds, and cotton—by eliminating direct payments. Currently, most support for farmers comes from crop insurance programs in which farmers only receive payments when prices or revenues decrease. Conservation programs were also culled and streamlined in the 2014 Farm Bill. Meanwhile, the funding for federal food assistance programs rose from 67% in the 2008 Farm Bill to 80% today.</w:t>
      </w:r>
    </w:p>
    <w:p w:rsidR="005C458D" w:rsidRPr="005E6BE6" w:rsidRDefault="005C458D" w:rsidP="005C458D">
      <w:pPr>
        <w:pStyle w:val="NormalWeb"/>
        <w:shd w:val="clear" w:color="auto" w:fill="FFFFFF"/>
        <w:spacing w:before="0" w:beforeAutospacing="0" w:after="300" w:afterAutospacing="0"/>
        <w:rPr>
          <w:color w:val="493F36"/>
        </w:rPr>
      </w:pPr>
      <w:r w:rsidRPr="005E6BE6">
        <w:rPr>
          <w:color w:val="493F36"/>
        </w:rPr>
        <w:t>Supplemental Nutrition Assistance Program spending as a share of GDP is expected to decline by 9% in 2014. This decrease in spending is largely due to the expiration of temporary benefit increases put in place by the Recovery Act of 2009 during the economic recession. Not only have these temporary benefits expired, but the total number of SNAP recipients has decreased as well. Caseloads skyrocketed during the worst years of the recession, but leveled off in 2011 and began to fall in the first half of 2014. The result will be a reversal of the upward trend SNAP spending has taken in recent years, from $34.6 billion in 2008 to $80 billion in 2012.</w:t>
      </w:r>
    </w:p>
    <w:p w:rsidR="005C458D" w:rsidRPr="005E6BE6" w:rsidRDefault="005C458D" w:rsidP="005C458D">
      <w:pPr>
        <w:rPr>
          <w:rFonts w:ascii="Times New Roman" w:hAnsi="Times New Roman" w:cs="Times New Roman"/>
          <w:sz w:val="24"/>
          <w:szCs w:val="24"/>
        </w:rPr>
      </w:pPr>
      <w:r w:rsidRPr="005E6BE6">
        <w:rPr>
          <w:rFonts w:ascii="Times New Roman" w:hAnsi="Times New Roman" w:cs="Times New Roman"/>
          <w:sz w:val="24"/>
          <w:szCs w:val="24"/>
        </w:rPr>
        <w:lastRenderedPageBreak/>
        <w:t>How positive or negative in its overall effects?</w:t>
      </w:r>
    </w:p>
    <w:p w:rsidR="005C458D" w:rsidRPr="005E6BE6" w:rsidRDefault="005C458D" w:rsidP="005C458D">
      <w:pPr>
        <w:rPr>
          <w:rFonts w:ascii="Times New Roman" w:hAnsi="Times New Roman" w:cs="Times New Roman"/>
          <w:sz w:val="24"/>
          <w:szCs w:val="24"/>
        </w:rPr>
      </w:pPr>
    </w:p>
    <w:p w:rsidR="005C458D" w:rsidRPr="005E6BE6" w:rsidRDefault="005C458D" w:rsidP="005C458D">
      <w:pPr>
        <w:rPr>
          <w:rFonts w:ascii="Times New Roman" w:hAnsi="Times New Roman" w:cs="Times New Roman"/>
          <w:sz w:val="24"/>
          <w:szCs w:val="24"/>
        </w:rPr>
      </w:pPr>
    </w:p>
    <w:p w:rsidR="005C458D" w:rsidRPr="005E6BE6" w:rsidRDefault="005C458D" w:rsidP="005C458D">
      <w:pPr>
        <w:rPr>
          <w:rFonts w:ascii="Times New Roman" w:hAnsi="Times New Roman" w:cs="Times New Roman"/>
          <w:sz w:val="24"/>
          <w:szCs w:val="24"/>
        </w:rPr>
      </w:pPr>
    </w:p>
    <w:p w:rsidR="00177CE5" w:rsidRPr="005E6BE6" w:rsidRDefault="005C458D" w:rsidP="00177CE5">
      <w:pPr>
        <w:pStyle w:val="NormalWeb"/>
        <w:numPr>
          <w:ilvl w:val="0"/>
          <w:numId w:val="1"/>
        </w:numPr>
        <w:shd w:val="clear" w:color="auto" w:fill="FFFFFF"/>
        <w:spacing w:after="0" w:afterAutospacing="0" w:line="437" w:lineRule="atLeast"/>
        <w:rPr>
          <w:color w:val="3C3C3C"/>
        </w:rPr>
      </w:pPr>
      <w:r w:rsidRPr="005E6BE6">
        <w:t>Helping people buy their homes through tax deductions for mortgage interest paid every year on their houses.</w:t>
      </w:r>
      <w:r w:rsidR="00177CE5" w:rsidRPr="005E6BE6">
        <w:t xml:space="preserve">  </w:t>
      </w:r>
      <w:r w:rsidR="00177CE5" w:rsidRPr="005E6BE6">
        <w:rPr>
          <w:color w:val="3C3C3C"/>
        </w:rPr>
        <w:t>In 2012, 34 million households, or 22 percent of tax filers, claimed the home mortgage deduction. That cost the federal government $68 billion in forgone revenue, according to estimates from the congressional Joint Committee on Taxation.</w:t>
      </w:r>
    </w:p>
    <w:p w:rsidR="00177CE5" w:rsidRPr="005E6BE6" w:rsidRDefault="00177CE5" w:rsidP="00177CE5">
      <w:pPr>
        <w:pStyle w:val="NormalWeb"/>
        <w:shd w:val="clear" w:color="auto" w:fill="FFFFFF"/>
        <w:spacing w:before="0" w:beforeAutospacing="0" w:after="300" w:afterAutospacing="0"/>
        <w:rPr>
          <w:color w:val="493F36"/>
        </w:rPr>
      </w:pPr>
      <w:r w:rsidRPr="005E6BE6">
        <w:rPr>
          <w:color w:val="3C3C3C"/>
        </w:rPr>
        <w:t>The deduction is available only to the one-third of taxpayers who itemize their deductions and tend to have higher incomes. More than three-quarters of the benefit in 2012 went to households with annual incomes exceeding $100,000.</w:t>
      </w:r>
      <w:r w:rsidRPr="005E6BE6">
        <w:rPr>
          <w:color w:val="3C3C3C"/>
        </w:rPr>
        <w:t xml:space="preserve">  </w:t>
      </w:r>
      <w:proofErr w:type="gramStart"/>
      <w:r w:rsidRPr="005E6BE6">
        <w:rPr>
          <w:color w:val="493F36"/>
        </w:rPr>
        <w:t>upward</w:t>
      </w:r>
      <w:proofErr w:type="gramEnd"/>
      <w:r w:rsidRPr="005E6BE6">
        <w:rPr>
          <w:color w:val="493F36"/>
        </w:rPr>
        <w:t xml:space="preserve"> trend SNAP spending has taken in recent years, from $34.6 billion in 2008 to $80 billion in 2012.</w:t>
      </w:r>
    </w:p>
    <w:p w:rsidR="00177CE5" w:rsidRPr="005E6BE6" w:rsidRDefault="00177CE5" w:rsidP="00177CE5">
      <w:pPr>
        <w:rPr>
          <w:rFonts w:ascii="Times New Roman" w:hAnsi="Times New Roman" w:cs="Times New Roman"/>
          <w:sz w:val="24"/>
          <w:szCs w:val="24"/>
        </w:rPr>
      </w:pPr>
      <w:r w:rsidRPr="005E6BE6">
        <w:rPr>
          <w:rFonts w:ascii="Times New Roman" w:hAnsi="Times New Roman" w:cs="Times New Roman"/>
          <w:sz w:val="24"/>
          <w:szCs w:val="24"/>
        </w:rPr>
        <w:t>How positive or negative in its overall effects?</w:t>
      </w:r>
    </w:p>
    <w:p w:rsidR="00177CE5" w:rsidRPr="005E6BE6" w:rsidRDefault="00177CE5" w:rsidP="00177CE5">
      <w:pPr>
        <w:rPr>
          <w:rFonts w:ascii="Times New Roman" w:hAnsi="Times New Roman" w:cs="Times New Roman"/>
          <w:sz w:val="24"/>
          <w:szCs w:val="24"/>
        </w:rPr>
      </w:pPr>
    </w:p>
    <w:p w:rsidR="00177CE5" w:rsidRPr="005E6BE6" w:rsidRDefault="00177CE5" w:rsidP="00177CE5">
      <w:pPr>
        <w:rPr>
          <w:rFonts w:ascii="Times New Roman" w:hAnsi="Times New Roman" w:cs="Times New Roman"/>
          <w:sz w:val="24"/>
          <w:szCs w:val="24"/>
        </w:rPr>
      </w:pPr>
    </w:p>
    <w:p w:rsidR="00177CE5" w:rsidRPr="005E6BE6" w:rsidRDefault="00177CE5" w:rsidP="00177CE5">
      <w:pPr>
        <w:rPr>
          <w:rFonts w:ascii="Times New Roman" w:hAnsi="Times New Roman" w:cs="Times New Roman"/>
          <w:sz w:val="24"/>
          <w:szCs w:val="24"/>
        </w:rPr>
      </w:pPr>
    </w:p>
    <w:p w:rsidR="00177CE5" w:rsidRPr="005E6BE6" w:rsidRDefault="00177CE5" w:rsidP="00177CE5">
      <w:pPr>
        <w:rPr>
          <w:rFonts w:ascii="Times New Roman" w:hAnsi="Times New Roman" w:cs="Times New Roman"/>
          <w:sz w:val="24"/>
          <w:szCs w:val="24"/>
        </w:rPr>
      </w:pPr>
    </w:p>
    <w:p w:rsidR="00177CE5" w:rsidRPr="005E6BE6" w:rsidRDefault="00177CE5" w:rsidP="00177CE5">
      <w:pPr>
        <w:rPr>
          <w:rFonts w:ascii="Times New Roman" w:hAnsi="Times New Roman" w:cs="Times New Roman"/>
          <w:sz w:val="24"/>
          <w:szCs w:val="24"/>
        </w:rPr>
      </w:pPr>
    </w:p>
    <w:p w:rsidR="00177CE5" w:rsidRPr="005E6BE6" w:rsidRDefault="00177CE5" w:rsidP="00177CE5">
      <w:pPr>
        <w:rPr>
          <w:rFonts w:ascii="Times New Roman" w:hAnsi="Times New Roman" w:cs="Times New Roman"/>
          <w:sz w:val="24"/>
          <w:szCs w:val="24"/>
        </w:rPr>
      </w:pPr>
    </w:p>
    <w:p w:rsidR="00177CE5" w:rsidRPr="005E6BE6" w:rsidRDefault="00177CE5" w:rsidP="00177CE5">
      <w:pPr>
        <w:rPr>
          <w:rFonts w:ascii="Times New Roman" w:hAnsi="Times New Roman" w:cs="Times New Roman"/>
          <w:sz w:val="24"/>
          <w:szCs w:val="24"/>
        </w:rPr>
      </w:pPr>
    </w:p>
    <w:p w:rsidR="00177CE5" w:rsidRPr="005E6BE6" w:rsidRDefault="00177CE5" w:rsidP="00177CE5">
      <w:pPr>
        <w:pStyle w:val="NormalWeb"/>
        <w:shd w:val="clear" w:color="auto" w:fill="FFFFFF"/>
        <w:spacing w:after="0" w:afterAutospacing="0" w:line="437" w:lineRule="atLeast"/>
        <w:rPr>
          <w:color w:val="3C3C3C"/>
        </w:rPr>
      </w:pPr>
    </w:p>
    <w:p w:rsidR="00177CE5" w:rsidRPr="005E6BE6" w:rsidRDefault="00177CE5" w:rsidP="00177CE5">
      <w:pPr>
        <w:pStyle w:val="NormalWeb"/>
        <w:numPr>
          <w:ilvl w:val="0"/>
          <w:numId w:val="1"/>
        </w:numPr>
        <w:shd w:val="clear" w:color="auto" w:fill="FFFFFF"/>
        <w:spacing w:before="0" w:beforeAutospacing="0" w:after="480" w:afterAutospacing="0"/>
        <w:rPr>
          <w:color w:val="333333"/>
        </w:rPr>
      </w:pPr>
      <w:r w:rsidRPr="005E6BE6">
        <w:t xml:space="preserve"> Affordable Care Act:  </w:t>
      </w:r>
      <w:r w:rsidRPr="005E6BE6">
        <w:rPr>
          <w:color w:val="333333"/>
        </w:rPr>
        <w:t>Obama</w:t>
      </w:r>
      <w:r w:rsidR="005652C2">
        <w:rPr>
          <w:color w:val="333333"/>
        </w:rPr>
        <w:t xml:space="preserve"> </w:t>
      </w:r>
      <w:r w:rsidRPr="005E6BE6">
        <w:rPr>
          <w:color w:val="333333"/>
        </w:rPr>
        <w:t>Care’s cost is currently estimated at a net cost of </w:t>
      </w:r>
      <w:hyperlink r:id="rId8" w:tgtFrame="_blank" w:tooltip="CBO net cost ACA March 2015" w:history="1">
        <w:r w:rsidRPr="005E6BE6">
          <w:rPr>
            <w:color w:val="163A79"/>
            <w:u w:val="single"/>
          </w:rPr>
          <w:t>$1.207 trillion</w:t>
        </w:r>
      </w:hyperlink>
      <w:r w:rsidRPr="005E6BE6">
        <w:rPr>
          <w:color w:val="333333"/>
        </w:rPr>
        <w:t xml:space="preserve"> dollars by </w:t>
      </w:r>
      <w:proofErr w:type="gramStart"/>
      <w:r w:rsidRPr="005E6BE6">
        <w:rPr>
          <w:color w:val="333333"/>
        </w:rPr>
        <w:t>2025</w:t>
      </w:r>
      <w:r w:rsidR="005652C2">
        <w:rPr>
          <w:color w:val="333333"/>
        </w:rPr>
        <w:t xml:space="preserve">  (</w:t>
      </w:r>
      <w:proofErr w:type="gramEnd"/>
      <w:r w:rsidR="005652C2">
        <w:rPr>
          <w:color w:val="333333"/>
        </w:rPr>
        <w:t>all the ye</w:t>
      </w:r>
      <w:r w:rsidRPr="005E6BE6">
        <w:rPr>
          <w:color w:val="333333"/>
        </w:rPr>
        <w:t xml:space="preserve">ars from now till 2025). This includes the cost of </w:t>
      </w:r>
      <w:proofErr w:type="spellStart"/>
      <w:r w:rsidRPr="005E6BE6">
        <w:rPr>
          <w:color w:val="333333"/>
        </w:rPr>
        <w:t>ObamaCare’s</w:t>
      </w:r>
      <w:proofErr w:type="spellEnd"/>
      <w:r w:rsidRPr="005E6BE6">
        <w:rPr>
          <w:color w:val="333333"/>
        </w:rPr>
        <w:t xml:space="preserve"> major insurance related provisions, but doesn’t take into account all of the </w:t>
      </w:r>
      <w:hyperlink r:id="rId9" w:tooltip="How Does ObamaCare Control Costs?" w:history="1">
        <w:r w:rsidRPr="005E6BE6">
          <w:rPr>
            <w:color w:val="163A79"/>
            <w:u w:val="single"/>
          </w:rPr>
          <w:t>cost curbing measures</w:t>
        </w:r>
      </w:hyperlink>
      <w:r w:rsidRPr="005E6BE6">
        <w:rPr>
          <w:color w:val="333333"/>
        </w:rPr>
        <w:t> in the law.</w:t>
      </w:r>
    </w:p>
    <w:p w:rsidR="00177CE5" w:rsidRPr="00177CE5" w:rsidRDefault="00177CE5" w:rsidP="00177CE5">
      <w:pPr>
        <w:numPr>
          <w:ilvl w:val="0"/>
          <w:numId w:val="3"/>
        </w:numPr>
        <w:shd w:val="clear" w:color="auto" w:fill="FFFFFF"/>
        <w:spacing w:before="100" w:beforeAutospacing="1" w:after="100" w:afterAutospacing="1" w:line="343" w:lineRule="atLeast"/>
        <w:rPr>
          <w:rFonts w:ascii="Times New Roman" w:eastAsia="Times New Roman" w:hAnsi="Times New Roman" w:cs="Times New Roman"/>
          <w:color w:val="333333"/>
          <w:sz w:val="24"/>
          <w:szCs w:val="24"/>
        </w:rPr>
      </w:pPr>
      <w:r w:rsidRPr="00177CE5">
        <w:rPr>
          <w:rFonts w:ascii="Times New Roman" w:eastAsia="Times New Roman" w:hAnsi="Times New Roman" w:cs="Times New Roman"/>
          <w:color w:val="333333"/>
          <w:sz w:val="24"/>
          <w:szCs w:val="24"/>
        </w:rPr>
        <w:t xml:space="preserve">As of March 2015, the net cost of </w:t>
      </w:r>
      <w:proofErr w:type="spellStart"/>
      <w:r w:rsidRPr="00177CE5">
        <w:rPr>
          <w:rFonts w:ascii="Times New Roman" w:eastAsia="Times New Roman" w:hAnsi="Times New Roman" w:cs="Times New Roman"/>
          <w:color w:val="333333"/>
          <w:sz w:val="24"/>
          <w:szCs w:val="24"/>
        </w:rPr>
        <w:t>ObamaCare</w:t>
      </w:r>
      <w:proofErr w:type="spellEnd"/>
      <w:r w:rsidRPr="00177CE5">
        <w:rPr>
          <w:rFonts w:ascii="Times New Roman" w:eastAsia="Times New Roman" w:hAnsi="Times New Roman" w:cs="Times New Roman"/>
          <w:color w:val="333333"/>
          <w:sz w:val="24"/>
          <w:szCs w:val="24"/>
        </w:rPr>
        <w:t xml:space="preserve"> is projected at </w:t>
      </w:r>
      <w:hyperlink r:id="rId10" w:tgtFrame="_blank" w:tooltip="CBO net cost ACA March 2015" w:history="1">
        <w:r w:rsidRPr="005E6BE6">
          <w:rPr>
            <w:rFonts w:ascii="Times New Roman" w:eastAsia="Times New Roman" w:hAnsi="Times New Roman" w:cs="Times New Roman"/>
            <w:color w:val="163A79"/>
            <w:sz w:val="24"/>
            <w:szCs w:val="24"/>
            <w:u w:val="single"/>
          </w:rPr>
          <w:t>$1.207 trillion</w:t>
        </w:r>
      </w:hyperlink>
      <w:r w:rsidRPr="00177CE5">
        <w:rPr>
          <w:rFonts w:ascii="Times New Roman" w:eastAsia="Times New Roman" w:hAnsi="Times New Roman" w:cs="Times New Roman"/>
          <w:color w:val="333333"/>
          <w:sz w:val="24"/>
          <w:szCs w:val="24"/>
        </w:rPr>
        <w:t xml:space="preserve"> over the 2016 – 2025 </w:t>
      </w:r>
      <w:proofErr w:type="gramStart"/>
      <w:r w:rsidRPr="00177CE5">
        <w:rPr>
          <w:rFonts w:ascii="Times New Roman" w:eastAsia="Times New Roman" w:hAnsi="Times New Roman" w:cs="Times New Roman"/>
          <w:color w:val="333333"/>
          <w:sz w:val="24"/>
          <w:szCs w:val="24"/>
        </w:rPr>
        <w:t>period</w:t>
      </w:r>
      <w:proofErr w:type="gramEnd"/>
      <w:r w:rsidRPr="00177CE5">
        <w:rPr>
          <w:rFonts w:ascii="Times New Roman" w:eastAsia="Times New Roman" w:hAnsi="Times New Roman" w:cs="Times New Roman"/>
          <w:color w:val="333333"/>
          <w:sz w:val="24"/>
          <w:szCs w:val="24"/>
        </w:rPr>
        <w:t>.</w:t>
      </w:r>
    </w:p>
    <w:p w:rsidR="00177CE5" w:rsidRPr="00177CE5" w:rsidRDefault="00177CE5" w:rsidP="00177CE5">
      <w:pPr>
        <w:numPr>
          <w:ilvl w:val="0"/>
          <w:numId w:val="3"/>
        </w:numPr>
        <w:shd w:val="clear" w:color="auto" w:fill="FFFFFF"/>
        <w:spacing w:before="100" w:beforeAutospacing="1" w:after="100" w:afterAutospacing="1" w:line="343" w:lineRule="atLeast"/>
        <w:rPr>
          <w:rFonts w:ascii="Times New Roman" w:eastAsia="Times New Roman" w:hAnsi="Times New Roman" w:cs="Times New Roman"/>
          <w:color w:val="333333"/>
          <w:sz w:val="24"/>
          <w:szCs w:val="24"/>
        </w:rPr>
      </w:pPr>
      <w:r w:rsidRPr="00177CE5">
        <w:rPr>
          <w:rFonts w:ascii="Times New Roman" w:eastAsia="Times New Roman" w:hAnsi="Times New Roman" w:cs="Times New Roman"/>
          <w:color w:val="333333"/>
          <w:sz w:val="24"/>
          <w:szCs w:val="24"/>
        </w:rPr>
        <w:t>This is down from</w:t>
      </w:r>
      <w:r w:rsidRPr="005E6BE6">
        <w:rPr>
          <w:rFonts w:ascii="Times New Roman" w:eastAsia="Times New Roman" w:hAnsi="Times New Roman" w:cs="Times New Roman"/>
          <w:color w:val="333333"/>
          <w:sz w:val="24"/>
          <w:szCs w:val="24"/>
        </w:rPr>
        <w:t> </w:t>
      </w:r>
      <w:hyperlink r:id="rId11" w:tgtFrame="_blank" w:tooltip="Jan 2015 CBO Updated Estimates of the Insurance Coverage Provisions of the Affordable Care Act" w:history="1">
        <w:r w:rsidRPr="005E6BE6">
          <w:rPr>
            <w:rFonts w:ascii="Times New Roman" w:eastAsia="Times New Roman" w:hAnsi="Times New Roman" w:cs="Times New Roman"/>
            <w:color w:val="163A79"/>
            <w:sz w:val="24"/>
            <w:szCs w:val="24"/>
            <w:u w:val="single"/>
          </w:rPr>
          <w:t>$1.35</w:t>
        </w:r>
      </w:hyperlink>
      <w:r w:rsidRPr="005E6BE6">
        <w:rPr>
          <w:rFonts w:ascii="Times New Roman" w:eastAsia="Times New Roman" w:hAnsi="Times New Roman" w:cs="Times New Roman"/>
          <w:color w:val="333333"/>
          <w:sz w:val="24"/>
          <w:szCs w:val="24"/>
        </w:rPr>
        <w:t> </w:t>
      </w:r>
      <w:r w:rsidRPr="00177CE5">
        <w:rPr>
          <w:rFonts w:ascii="Times New Roman" w:eastAsia="Times New Roman" w:hAnsi="Times New Roman" w:cs="Times New Roman"/>
          <w:color w:val="333333"/>
          <w:sz w:val="24"/>
          <w:szCs w:val="24"/>
        </w:rPr>
        <w:t>trillion in January 2015, which itself represented a 7% reduction from</w:t>
      </w:r>
      <w:r w:rsidRPr="005E6BE6">
        <w:rPr>
          <w:rFonts w:ascii="Times New Roman" w:eastAsia="Times New Roman" w:hAnsi="Times New Roman" w:cs="Times New Roman"/>
          <w:color w:val="333333"/>
          <w:sz w:val="24"/>
          <w:szCs w:val="24"/>
        </w:rPr>
        <w:t> </w:t>
      </w:r>
      <w:hyperlink r:id="rId12" w:tgtFrame="_blank" w:tooltip="CBO Updated Estimates of the Effects of the Insurance Coverage Provisions of the Affordable Care Act, April 2014" w:history="1">
        <w:r w:rsidRPr="005E6BE6">
          <w:rPr>
            <w:rFonts w:ascii="Times New Roman" w:eastAsia="Times New Roman" w:hAnsi="Times New Roman" w:cs="Times New Roman"/>
            <w:color w:val="163A79"/>
            <w:sz w:val="24"/>
            <w:szCs w:val="24"/>
            <w:u w:val="single"/>
          </w:rPr>
          <w:t>April 2014</w:t>
        </w:r>
      </w:hyperlink>
      <w:r w:rsidRPr="00177CE5">
        <w:rPr>
          <w:rFonts w:ascii="Times New Roman" w:eastAsia="Times New Roman" w:hAnsi="Times New Roman" w:cs="Times New Roman"/>
          <w:color w:val="333333"/>
          <w:sz w:val="24"/>
          <w:szCs w:val="24"/>
        </w:rPr>
        <w:t>.</w:t>
      </w:r>
    </w:p>
    <w:p w:rsidR="00177CE5" w:rsidRPr="00177CE5" w:rsidRDefault="00177CE5" w:rsidP="00177CE5">
      <w:pPr>
        <w:numPr>
          <w:ilvl w:val="0"/>
          <w:numId w:val="3"/>
        </w:numPr>
        <w:shd w:val="clear" w:color="auto" w:fill="FFFFFF"/>
        <w:spacing w:before="100" w:beforeAutospacing="1" w:after="100" w:afterAutospacing="1" w:line="343" w:lineRule="atLeast"/>
        <w:rPr>
          <w:rFonts w:ascii="Times New Roman" w:eastAsia="Times New Roman" w:hAnsi="Times New Roman" w:cs="Times New Roman"/>
          <w:color w:val="333333"/>
          <w:sz w:val="24"/>
          <w:szCs w:val="24"/>
        </w:rPr>
      </w:pPr>
      <w:r w:rsidRPr="00177CE5">
        <w:rPr>
          <w:rFonts w:ascii="Times New Roman" w:eastAsia="Times New Roman" w:hAnsi="Times New Roman" w:cs="Times New Roman"/>
          <w:color w:val="333333"/>
          <w:sz w:val="24"/>
          <w:szCs w:val="24"/>
        </w:rPr>
        <w:lastRenderedPageBreak/>
        <w:t>The net cost includes coverage provisions like:</w:t>
      </w:r>
      <w:r w:rsidRPr="005E6BE6">
        <w:rPr>
          <w:rFonts w:ascii="Times New Roman" w:eastAsia="Times New Roman" w:hAnsi="Times New Roman" w:cs="Times New Roman"/>
          <w:color w:val="333333"/>
          <w:sz w:val="24"/>
          <w:szCs w:val="24"/>
        </w:rPr>
        <w:t> </w:t>
      </w:r>
      <w:hyperlink r:id="rId13" w:tooltip="ObamaCare Subsidies" w:history="1">
        <w:r w:rsidRPr="005E6BE6">
          <w:rPr>
            <w:rFonts w:ascii="Times New Roman" w:eastAsia="Times New Roman" w:hAnsi="Times New Roman" w:cs="Times New Roman"/>
            <w:color w:val="163A79"/>
            <w:sz w:val="24"/>
            <w:szCs w:val="24"/>
            <w:u w:val="single"/>
          </w:rPr>
          <w:t>Marketplace subsidies</w:t>
        </w:r>
      </w:hyperlink>
      <w:r w:rsidRPr="00177CE5">
        <w:rPr>
          <w:rFonts w:ascii="Times New Roman" w:eastAsia="Times New Roman" w:hAnsi="Times New Roman" w:cs="Times New Roman"/>
          <w:color w:val="333333"/>
          <w:sz w:val="24"/>
          <w:szCs w:val="24"/>
        </w:rPr>
        <w:t>, the </w:t>
      </w:r>
      <w:hyperlink r:id="rId14" w:tooltip="ObamaCare Medicaid Expansion" w:history="1">
        <w:r w:rsidRPr="005E6BE6">
          <w:rPr>
            <w:rFonts w:ascii="Times New Roman" w:eastAsia="Times New Roman" w:hAnsi="Times New Roman" w:cs="Times New Roman"/>
            <w:color w:val="163A79"/>
            <w:sz w:val="24"/>
            <w:szCs w:val="24"/>
            <w:u w:val="single"/>
          </w:rPr>
          <w:t>expansion of Medicaid and CHIP</w:t>
        </w:r>
      </w:hyperlink>
      <w:r w:rsidRPr="00177CE5">
        <w:rPr>
          <w:rFonts w:ascii="Times New Roman" w:eastAsia="Times New Roman" w:hAnsi="Times New Roman" w:cs="Times New Roman"/>
          <w:color w:val="333333"/>
          <w:sz w:val="24"/>
          <w:szCs w:val="24"/>
        </w:rPr>
        <w:t>, and</w:t>
      </w:r>
      <w:r w:rsidRPr="005E6BE6">
        <w:rPr>
          <w:rFonts w:ascii="Times New Roman" w:eastAsia="Times New Roman" w:hAnsi="Times New Roman" w:cs="Times New Roman"/>
          <w:color w:val="333333"/>
          <w:sz w:val="24"/>
          <w:szCs w:val="24"/>
        </w:rPr>
        <w:t> </w:t>
      </w:r>
      <w:hyperlink r:id="rId15" w:tooltip="ObamaCare Small Business Facts" w:history="1">
        <w:r w:rsidRPr="005E6BE6">
          <w:rPr>
            <w:rFonts w:ascii="Times New Roman" w:eastAsia="Times New Roman" w:hAnsi="Times New Roman" w:cs="Times New Roman"/>
            <w:color w:val="163A79"/>
            <w:sz w:val="24"/>
            <w:szCs w:val="24"/>
            <w:u w:val="single"/>
          </w:rPr>
          <w:t>Employer tax credits</w:t>
        </w:r>
      </w:hyperlink>
      <w:r w:rsidRPr="00177CE5">
        <w:rPr>
          <w:rFonts w:ascii="Times New Roman" w:eastAsia="Times New Roman" w:hAnsi="Times New Roman" w:cs="Times New Roman"/>
          <w:color w:val="333333"/>
          <w:sz w:val="24"/>
          <w:szCs w:val="24"/>
        </w:rPr>
        <w:t>.</w:t>
      </w:r>
    </w:p>
    <w:p w:rsidR="00177CE5" w:rsidRPr="00177CE5" w:rsidRDefault="00177CE5" w:rsidP="00177CE5">
      <w:pPr>
        <w:numPr>
          <w:ilvl w:val="0"/>
          <w:numId w:val="3"/>
        </w:numPr>
        <w:shd w:val="clear" w:color="auto" w:fill="FFFFFF"/>
        <w:spacing w:before="100" w:beforeAutospacing="1" w:after="100" w:afterAutospacing="1" w:line="343" w:lineRule="atLeast"/>
        <w:rPr>
          <w:rFonts w:ascii="Times New Roman" w:eastAsia="Times New Roman" w:hAnsi="Times New Roman" w:cs="Times New Roman"/>
          <w:color w:val="333333"/>
          <w:sz w:val="24"/>
          <w:szCs w:val="24"/>
        </w:rPr>
      </w:pPr>
      <w:r w:rsidRPr="00177CE5">
        <w:rPr>
          <w:rFonts w:ascii="Times New Roman" w:eastAsia="Times New Roman" w:hAnsi="Times New Roman" w:cs="Times New Roman"/>
          <w:color w:val="333333"/>
          <w:sz w:val="24"/>
          <w:szCs w:val="24"/>
        </w:rPr>
        <w:t>The net cost also includes revenue provisions like:</w:t>
      </w:r>
      <w:r w:rsidRPr="005E6BE6">
        <w:rPr>
          <w:rFonts w:ascii="Times New Roman" w:eastAsia="Times New Roman" w:hAnsi="Times New Roman" w:cs="Times New Roman"/>
          <w:color w:val="333333"/>
          <w:sz w:val="24"/>
          <w:szCs w:val="24"/>
        </w:rPr>
        <w:t> </w:t>
      </w:r>
      <w:hyperlink r:id="rId16" w:tooltip="ObamaCare Individual Mandate" w:history="1">
        <w:r w:rsidRPr="005E6BE6">
          <w:rPr>
            <w:rFonts w:ascii="Times New Roman" w:eastAsia="Times New Roman" w:hAnsi="Times New Roman" w:cs="Times New Roman"/>
            <w:color w:val="163A79"/>
            <w:sz w:val="24"/>
            <w:szCs w:val="24"/>
            <w:u w:val="single"/>
          </w:rPr>
          <w:t>Penalty payments</w:t>
        </w:r>
      </w:hyperlink>
      <w:r w:rsidRPr="00177CE5">
        <w:rPr>
          <w:rFonts w:ascii="Times New Roman" w:eastAsia="Times New Roman" w:hAnsi="Times New Roman" w:cs="Times New Roman"/>
          <w:color w:val="333333"/>
          <w:sz w:val="24"/>
          <w:szCs w:val="24"/>
        </w:rPr>
        <w:t>, the</w:t>
      </w:r>
      <w:r w:rsidRPr="005E6BE6">
        <w:rPr>
          <w:rFonts w:ascii="Times New Roman" w:eastAsia="Times New Roman" w:hAnsi="Times New Roman" w:cs="Times New Roman"/>
          <w:color w:val="333333"/>
          <w:sz w:val="24"/>
          <w:szCs w:val="24"/>
        </w:rPr>
        <w:t> </w:t>
      </w:r>
      <w:hyperlink r:id="rId17" w:tooltip="ObamaCare Cadillac Tax (Excise Tax on High End Plans)" w:history="1">
        <w:r w:rsidRPr="005E6BE6">
          <w:rPr>
            <w:rFonts w:ascii="Times New Roman" w:eastAsia="Times New Roman" w:hAnsi="Times New Roman" w:cs="Times New Roman"/>
            <w:color w:val="163A79"/>
            <w:sz w:val="24"/>
            <w:szCs w:val="24"/>
            <w:u w:val="single"/>
          </w:rPr>
          <w:t>excise tax</w:t>
        </w:r>
      </w:hyperlink>
      <w:r w:rsidRPr="00177CE5">
        <w:rPr>
          <w:rFonts w:ascii="Times New Roman" w:eastAsia="Times New Roman" w:hAnsi="Times New Roman" w:cs="Times New Roman"/>
          <w:color w:val="333333"/>
          <w:sz w:val="24"/>
          <w:szCs w:val="24"/>
        </w:rPr>
        <w:t>, and other</w:t>
      </w:r>
      <w:r w:rsidRPr="005E6BE6">
        <w:rPr>
          <w:rFonts w:ascii="Times New Roman" w:eastAsia="Times New Roman" w:hAnsi="Times New Roman" w:cs="Times New Roman"/>
          <w:color w:val="333333"/>
          <w:sz w:val="24"/>
          <w:szCs w:val="24"/>
        </w:rPr>
        <w:t> </w:t>
      </w:r>
      <w:hyperlink r:id="rId18" w:tooltip="ObamaCare Tax: Full List of ObamaCare Taxes" w:history="1">
        <w:r w:rsidRPr="005E6BE6">
          <w:rPr>
            <w:rFonts w:ascii="Times New Roman" w:eastAsia="Times New Roman" w:hAnsi="Times New Roman" w:cs="Times New Roman"/>
            <w:color w:val="163A79"/>
            <w:sz w:val="24"/>
            <w:szCs w:val="24"/>
            <w:u w:val="single"/>
          </w:rPr>
          <w:t>taxes</w:t>
        </w:r>
      </w:hyperlink>
      <w:r w:rsidRPr="00177CE5">
        <w:rPr>
          <w:rFonts w:ascii="Times New Roman" w:eastAsia="Times New Roman" w:hAnsi="Times New Roman" w:cs="Times New Roman"/>
          <w:color w:val="333333"/>
          <w:sz w:val="24"/>
          <w:szCs w:val="24"/>
        </w:rPr>
        <w:t>.</w:t>
      </w:r>
    </w:p>
    <w:p w:rsidR="00177CE5" w:rsidRPr="00177CE5" w:rsidRDefault="00177CE5" w:rsidP="00177CE5">
      <w:pPr>
        <w:numPr>
          <w:ilvl w:val="0"/>
          <w:numId w:val="3"/>
        </w:numPr>
        <w:shd w:val="clear" w:color="auto" w:fill="FFFFFF"/>
        <w:spacing w:before="100" w:beforeAutospacing="1" w:after="100" w:afterAutospacing="1" w:line="343" w:lineRule="atLeast"/>
        <w:rPr>
          <w:rFonts w:ascii="Times New Roman" w:eastAsia="Times New Roman" w:hAnsi="Times New Roman" w:cs="Times New Roman"/>
          <w:color w:val="333333"/>
          <w:sz w:val="24"/>
          <w:szCs w:val="24"/>
        </w:rPr>
      </w:pPr>
      <w:r w:rsidRPr="00177CE5">
        <w:rPr>
          <w:rFonts w:ascii="Times New Roman" w:eastAsia="Times New Roman" w:hAnsi="Times New Roman" w:cs="Times New Roman"/>
          <w:color w:val="333333"/>
          <w:sz w:val="24"/>
          <w:szCs w:val="24"/>
        </w:rPr>
        <w:t xml:space="preserve">The net cost </w:t>
      </w:r>
      <w:proofErr w:type="gramStart"/>
      <w:r w:rsidRPr="00177CE5">
        <w:rPr>
          <w:rFonts w:ascii="Times New Roman" w:eastAsia="Times New Roman" w:hAnsi="Times New Roman" w:cs="Times New Roman"/>
          <w:color w:val="333333"/>
          <w:sz w:val="24"/>
          <w:szCs w:val="24"/>
        </w:rPr>
        <w:t>doesn’t  include</w:t>
      </w:r>
      <w:proofErr w:type="gramEnd"/>
      <w:r w:rsidRPr="005E6BE6">
        <w:rPr>
          <w:rFonts w:ascii="Times New Roman" w:eastAsia="Times New Roman" w:hAnsi="Times New Roman" w:cs="Times New Roman"/>
          <w:color w:val="333333"/>
          <w:sz w:val="24"/>
          <w:szCs w:val="24"/>
        </w:rPr>
        <w:t> </w:t>
      </w:r>
      <w:hyperlink r:id="rId19" w:tooltip="Summary of Provisions in The Patient Protection and Affordable Care Act" w:history="1">
        <w:r w:rsidRPr="005E6BE6">
          <w:rPr>
            <w:rFonts w:ascii="Times New Roman" w:eastAsia="Times New Roman" w:hAnsi="Times New Roman" w:cs="Times New Roman"/>
            <w:color w:val="163A79"/>
            <w:sz w:val="24"/>
            <w:szCs w:val="24"/>
            <w:u w:val="single"/>
          </w:rPr>
          <w:t>other reforms</w:t>
        </w:r>
      </w:hyperlink>
      <w:r w:rsidRPr="005E6BE6">
        <w:rPr>
          <w:rFonts w:ascii="Times New Roman" w:eastAsia="Times New Roman" w:hAnsi="Times New Roman" w:cs="Times New Roman"/>
          <w:color w:val="333333"/>
          <w:sz w:val="24"/>
          <w:szCs w:val="24"/>
        </w:rPr>
        <w:t> </w:t>
      </w:r>
      <w:r w:rsidRPr="00177CE5">
        <w:rPr>
          <w:rFonts w:ascii="Times New Roman" w:eastAsia="Times New Roman" w:hAnsi="Times New Roman" w:cs="Times New Roman"/>
          <w:color w:val="333333"/>
          <w:sz w:val="24"/>
          <w:szCs w:val="24"/>
        </w:rPr>
        <w:t>which continue to contribute to a downward trend in healthcare costs, including many Medicare related reforms. Medicare spending is calculated separately in the</w:t>
      </w:r>
      <w:r w:rsidRPr="005E6BE6">
        <w:rPr>
          <w:rFonts w:ascii="Times New Roman" w:eastAsia="Times New Roman" w:hAnsi="Times New Roman" w:cs="Times New Roman"/>
          <w:color w:val="333333"/>
          <w:sz w:val="24"/>
          <w:szCs w:val="24"/>
        </w:rPr>
        <w:t> </w:t>
      </w:r>
      <w:hyperlink r:id="rId20" w:tgtFrame="_blank" w:tooltip="budget projections CBO March 2015 overview" w:history="1">
        <w:r w:rsidRPr="005E6BE6">
          <w:rPr>
            <w:rFonts w:ascii="Times New Roman" w:eastAsia="Times New Roman" w:hAnsi="Times New Roman" w:cs="Times New Roman"/>
            <w:color w:val="163A79"/>
            <w:sz w:val="24"/>
            <w:szCs w:val="24"/>
            <w:u w:val="single"/>
          </w:rPr>
          <w:t>budget projections</w:t>
        </w:r>
      </w:hyperlink>
      <w:r w:rsidRPr="00177CE5">
        <w:rPr>
          <w:rFonts w:ascii="Times New Roman" w:eastAsia="Times New Roman" w:hAnsi="Times New Roman" w:cs="Times New Roman"/>
          <w:color w:val="333333"/>
          <w:sz w:val="24"/>
          <w:szCs w:val="24"/>
        </w:rPr>
        <w:t>, but Medicare reform comprises a bulk of</w:t>
      </w:r>
      <w:r w:rsidRPr="005E6BE6">
        <w:rPr>
          <w:rFonts w:ascii="Times New Roman" w:eastAsia="Times New Roman" w:hAnsi="Times New Roman" w:cs="Times New Roman"/>
          <w:color w:val="333333"/>
          <w:sz w:val="24"/>
          <w:szCs w:val="24"/>
        </w:rPr>
        <w:t> </w:t>
      </w:r>
      <w:hyperlink r:id="rId21" w:tooltip="Summary of Provisions in The Patient Protection and Affordable Care Act" w:history="1">
        <w:r w:rsidRPr="005E6BE6">
          <w:rPr>
            <w:rFonts w:ascii="Times New Roman" w:eastAsia="Times New Roman" w:hAnsi="Times New Roman" w:cs="Times New Roman"/>
            <w:color w:val="163A79"/>
            <w:sz w:val="24"/>
            <w:szCs w:val="24"/>
            <w:u w:val="single"/>
          </w:rPr>
          <w:t>the Affordable Care Act itself</w:t>
        </w:r>
      </w:hyperlink>
      <w:r w:rsidRPr="00177CE5">
        <w:rPr>
          <w:rFonts w:ascii="Times New Roman" w:eastAsia="Times New Roman" w:hAnsi="Times New Roman" w:cs="Times New Roman"/>
          <w:color w:val="333333"/>
          <w:sz w:val="24"/>
          <w:szCs w:val="24"/>
        </w:rPr>
        <w:t>.</w:t>
      </w:r>
    </w:p>
    <w:p w:rsidR="00177CE5" w:rsidRPr="00177CE5" w:rsidRDefault="00177CE5" w:rsidP="00177CE5">
      <w:pPr>
        <w:numPr>
          <w:ilvl w:val="0"/>
          <w:numId w:val="3"/>
        </w:numPr>
        <w:shd w:val="clear" w:color="auto" w:fill="FFFFFF"/>
        <w:spacing w:before="100" w:beforeAutospacing="1" w:after="100" w:afterAutospacing="1" w:line="343" w:lineRule="atLeast"/>
        <w:rPr>
          <w:rFonts w:ascii="Times New Roman" w:eastAsia="Times New Roman" w:hAnsi="Times New Roman" w:cs="Times New Roman"/>
          <w:color w:val="333333"/>
          <w:sz w:val="24"/>
          <w:szCs w:val="24"/>
        </w:rPr>
      </w:pPr>
      <w:r w:rsidRPr="00177CE5">
        <w:rPr>
          <w:rFonts w:ascii="Times New Roman" w:eastAsia="Times New Roman" w:hAnsi="Times New Roman" w:cs="Times New Roman"/>
          <w:color w:val="333333"/>
          <w:sz w:val="24"/>
          <w:szCs w:val="24"/>
        </w:rPr>
        <w:t>In 2015, due in part to the ACA, health care spending grew</w:t>
      </w:r>
      <w:r w:rsidRPr="005E6BE6">
        <w:rPr>
          <w:rFonts w:ascii="Times New Roman" w:eastAsia="Times New Roman" w:hAnsi="Times New Roman" w:cs="Times New Roman"/>
          <w:color w:val="333333"/>
          <w:sz w:val="24"/>
          <w:szCs w:val="24"/>
        </w:rPr>
        <w:t> </w:t>
      </w:r>
      <w:hyperlink r:id="rId22" w:tooltip="ObamaCare: 10 Million Strong and Growing" w:history="1">
        <w:r w:rsidRPr="005E6BE6">
          <w:rPr>
            <w:rFonts w:ascii="Times New Roman" w:eastAsia="Times New Roman" w:hAnsi="Times New Roman" w:cs="Times New Roman"/>
            <w:color w:val="163A79"/>
            <w:sz w:val="24"/>
            <w:szCs w:val="24"/>
            <w:u w:val="single"/>
          </w:rPr>
          <w:t>at the slowest rate on record (since 1960)</w:t>
        </w:r>
      </w:hyperlink>
      <w:r w:rsidRPr="00177CE5">
        <w:rPr>
          <w:rFonts w:ascii="Times New Roman" w:eastAsia="Times New Roman" w:hAnsi="Times New Roman" w:cs="Times New Roman"/>
          <w:color w:val="333333"/>
          <w:sz w:val="24"/>
          <w:szCs w:val="24"/>
        </w:rPr>
        <w:t>.  Meanwhile, health care price inflation is at its lowest rate in 50 years.</w:t>
      </w:r>
    </w:p>
    <w:p w:rsidR="00177CE5" w:rsidRPr="005E6BE6" w:rsidRDefault="00177CE5" w:rsidP="00177CE5">
      <w:pPr>
        <w:numPr>
          <w:ilvl w:val="0"/>
          <w:numId w:val="3"/>
        </w:numPr>
        <w:shd w:val="clear" w:color="auto" w:fill="FFFFFF"/>
        <w:spacing w:before="100" w:beforeAutospacing="1" w:after="100" w:afterAutospacing="1" w:line="343" w:lineRule="atLeast"/>
        <w:rPr>
          <w:rFonts w:ascii="Times New Roman" w:eastAsia="Times New Roman" w:hAnsi="Times New Roman" w:cs="Times New Roman"/>
          <w:color w:val="333333"/>
          <w:sz w:val="24"/>
          <w:szCs w:val="24"/>
        </w:rPr>
      </w:pPr>
      <w:r w:rsidRPr="00177CE5">
        <w:rPr>
          <w:rFonts w:ascii="Times New Roman" w:eastAsia="Times New Roman" w:hAnsi="Times New Roman" w:cs="Times New Roman"/>
          <w:color w:val="333333"/>
          <w:sz w:val="24"/>
          <w:szCs w:val="24"/>
        </w:rPr>
        <w:t>Due to the insurance related provisions,</w:t>
      </w:r>
      <w:r w:rsidRPr="005E6BE6">
        <w:rPr>
          <w:rFonts w:ascii="Times New Roman" w:eastAsia="Times New Roman" w:hAnsi="Times New Roman" w:cs="Times New Roman"/>
          <w:color w:val="333333"/>
          <w:sz w:val="24"/>
          <w:szCs w:val="24"/>
        </w:rPr>
        <w:t> </w:t>
      </w:r>
      <w:r w:rsidRPr="005E6BE6">
        <w:rPr>
          <w:rFonts w:ascii="Times New Roman" w:eastAsia="Times New Roman" w:hAnsi="Times New Roman" w:cs="Times New Roman"/>
          <w:b/>
          <w:bCs/>
          <w:color w:val="333333"/>
          <w:sz w:val="24"/>
          <w:szCs w:val="24"/>
        </w:rPr>
        <w:t>6 in 10 Americans can get covered for</w:t>
      </w:r>
      <w:hyperlink r:id="rId23" w:tooltip="ObamaCare: 10 Million Strong and Growing" w:history="1">
        <w:r w:rsidRPr="005E6BE6">
          <w:rPr>
            <w:rFonts w:ascii="Times New Roman" w:eastAsia="Times New Roman" w:hAnsi="Times New Roman" w:cs="Times New Roman"/>
            <w:b/>
            <w:bCs/>
            <w:color w:val="163A79"/>
            <w:sz w:val="24"/>
            <w:szCs w:val="24"/>
            <w:u w:val="single"/>
          </w:rPr>
          <w:t>$100 or less</w:t>
        </w:r>
      </w:hyperlink>
      <w:r w:rsidRPr="005E6BE6">
        <w:rPr>
          <w:rFonts w:ascii="Times New Roman" w:eastAsia="Times New Roman" w:hAnsi="Times New Roman" w:cs="Times New Roman"/>
          <w:b/>
          <w:bCs/>
          <w:color w:val="333333"/>
          <w:sz w:val="24"/>
          <w:szCs w:val="24"/>
        </w:rPr>
        <w:t> on the </w:t>
      </w:r>
      <w:hyperlink r:id="rId24" w:tooltip="What is the Health Insurance Marketplace?" w:history="1">
        <w:r w:rsidRPr="005E6BE6">
          <w:rPr>
            <w:rFonts w:ascii="Times New Roman" w:eastAsia="Times New Roman" w:hAnsi="Times New Roman" w:cs="Times New Roman"/>
            <w:b/>
            <w:bCs/>
            <w:color w:val="163A79"/>
            <w:sz w:val="24"/>
            <w:szCs w:val="24"/>
            <w:u w:val="single"/>
          </w:rPr>
          <w:t>Health Insurance Marketplace</w:t>
        </w:r>
      </w:hyperlink>
      <w:r w:rsidRPr="00177CE5">
        <w:rPr>
          <w:rFonts w:ascii="Times New Roman" w:eastAsia="Times New Roman" w:hAnsi="Times New Roman" w:cs="Times New Roman"/>
          <w:color w:val="333333"/>
          <w:sz w:val="24"/>
          <w:szCs w:val="24"/>
        </w:rPr>
        <w:t>, with the average plan costing just </w:t>
      </w:r>
      <w:hyperlink r:id="rId25" w:tgtFrame="_blank" w:history="1">
        <w:r w:rsidRPr="005E6BE6">
          <w:rPr>
            <w:rFonts w:ascii="Times New Roman" w:eastAsia="Times New Roman" w:hAnsi="Times New Roman" w:cs="Times New Roman"/>
            <w:color w:val="163A79"/>
            <w:sz w:val="24"/>
            <w:szCs w:val="24"/>
            <w:u w:val="single"/>
          </w:rPr>
          <w:t>$82</w:t>
        </w:r>
      </w:hyperlink>
      <w:r w:rsidRPr="00177CE5">
        <w:rPr>
          <w:rFonts w:ascii="Times New Roman" w:eastAsia="Times New Roman" w:hAnsi="Times New Roman" w:cs="Times New Roman"/>
          <w:color w:val="333333"/>
          <w:sz w:val="24"/>
          <w:szCs w:val="24"/>
        </w:rPr>
        <w:t> after</w:t>
      </w:r>
      <w:r w:rsidRPr="005E6BE6">
        <w:rPr>
          <w:rFonts w:ascii="Times New Roman" w:eastAsia="Times New Roman" w:hAnsi="Times New Roman" w:cs="Times New Roman"/>
          <w:color w:val="333333"/>
          <w:sz w:val="24"/>
          <w:szCs w:val="24"/>
        </w:rPr>
        <w:t> </w:t>
      </w:r>
      <w:hyperlink r:id="rId26" w:tooltip="Premium Tax Credits" w:history="1">
        <w:r w:rsidRPr="005E6BE6">
          <w:rPr>
            <w:rFonts w:ascii="Times New Roman" w:eastAsia="Times New Roman" w:hAnsi="Times New Roman" w:cs="Times New Roman"/>
            <w:color w:val="163A79"/>
            <w:sz w:val="24"/>
            <w:szCs w:val="24"/>
            <w:u w:val="single"/>
          </w:rPr>
          <w:t>Premium Tax Credits</w:t>
        </w:r>
      </w:hyperlink>
      <w:r w:rsidRPr="00177CE5">
        <w:rPr>
          <w:rFonts w:ascii="Times New Roman" w:eastAsia="Times New Roman" w:hAnsi="Times New Roman" w:cs="Times New Roman"/>
          <w:color w:val="333333"/>
          <w:sz w:val="24"/>
          <w:szCs w:val="24"/>
        </w:rPr>
        <w:t> in 2014.</w:t>
      </w:r>
    </w:p>
    <w:p w:rsidR="00177CE5" w:rsidRPr="005E6BE6" w:rsidRDefault="00177CE5" w:rsidP="00177CE5">
      <w:pPr>
        <w:shd w:val="clear" w:color="auto" w:fill="FFFFFF"/>
        <w:spacing w:before="100" w:beforeAutospacing="1" w:after="100" w:afterAutospacing="1" w:line="343" w:lineRule="atLeast"/>
        <w:rPr>
          <w:rFonts w:ascii="Times New Roman" w:eastAsia="Times New Roman" w:hAnsi="Times New Roman" w:cs="Times New Roman"/>
          <w:color w:val="333333"/>
          <w:sz w:val="24"/>
          <w:szCs w:val="24"/>
        </w:rPr>
      </w:pPr>
    </w:p>
    <w:p w:rsidR="00177CE5" w:rsidRPr="005E6BE6" w:rsidRDefault="00177CE5" w:rsidP="00177CE5">
      <w:pPr>
        <w:pStyle w:val="ListParagraph"/>
        <w:numPr>
          <w:ilvl w:val="0"/>
          <w:numId w:val="3"/>
        </w:numPr>
        <w:rPr>
          <w:rFonts w:ascii="Times New Roman" w:hAnsi="Times New Roman" w:cs="Times New Roman"/>
          <w:sz w:val="24"/>
          <w:szCs w:val="24"/>
        </w:rPr>
      </w:pPr>
      <w:r w:rsidRPr="005E6BE6">
        <w:rPr>
          <w:rFonts w:ascii="Times New Roman" w:hAnsi="Times New Roman" w:cs="Times New Roman"/>
          <w:sz w:val="24"/>
          <w:szCs w:val="24"/>
        </w:rPr>
        <w:t>How positive or negative in its overall effects?</w:t>
      </w:r>
    </w:p>
    <w:p w:rsidR="00177CE5" w:rsidRPr="00177CE5" w:rsidRDefault="00177CE5" w:rsidP="00177CE5">
      <w:pPr>
        <w:shd w:val="clear" w:color="auto" w:fill="FFFFFF"/>
        <w:spacing w:before="100" w:beforeAutospacing="1" w:after="100" w:afterAutospacing="1" w:line="343" w:lineRule="atLeast"/>
        <w:rPr>
          <w:rFonts w:ascii="Times New Roman" w:eastAsia="Times New Roman" w:hAnsi="Times New Roman" w:cs="Times New Roman"/>
          <w:color w:val="333333"/>
          <w:sz w:val="24"/>
          <w:szCs w:val="24"/>
        </w:rPr>
      </w:pPr>
    </w:p>
    <w:sectPr w:rsidR="00177CE5" w:rsidRPr="00177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017C0"/>
    <w:multiLevelType w:val="multilevel"/>
    <w:tmpl w:val="D284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CB29DC"/>
    <w:multiLevelType w:val="multilevel"/>
    <w:tmpl w:val="34FA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003FE9"/>
    <w:multiLevelType w:val="hybridMultilevel"/>
    <w:tmpl w:val="949A8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61"/>
    <w:rsid w:val="00086D61"/>
    <w:rsid w:val="001560BA"/>
    <w:rsid w:val="00177CE5"/>
    <w:rsid w:val="005652C2"/>
    <w:rsid w:val="00581F3E"/>
    <w:rsid w:val="005C458D"/>
    <w:rsid w:val="005E6BE6"/>
    <w:rsid w:val="00873F3C"/>
    <w:rsid w:val="00B0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3F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D61"/>
    <w:pPr>
      <w:ind w:left="720"/>
      <w:contextualSpacing/>
    </w:pPr>
  </w:style>
  <w:style w:type="paragraph" w:styleId="NormalWeb">
    <w:name w:val="Normal (Web)"/>
    <w:basedOn w:val="Normal"/>
    <w:uiPriority w:val="99"/>
    <w:semiHidden/>
    <w:unhideWhenUsed/>
    <w:rsid w:val="00873F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3F3C"/>
    <w:rPr>
      <w:b/>
      <w:bCs/>
    </w:rPr>
  </w:style>
  <w:style w:type="character" w:customStyle="1" w:styleId="Heading2Char">
    <w:name w:val="Heading 2 Char"/>
    <w:basedOn w:val="DefaultParagraphFont"/>
    <w:link w:val="Heading2"/>
    <w:uiPriority w:val="9"/>
    <w:rsid w:val="00873F3C"/>
    <w:rPr>
      <w:rFonts w:ascii="Times New Roman" w:eastAsia="Times New Roman" w:hAnsi="Times New Roman" w:cs="Times New Roman"/>
      <w:b/>
      <w:bCs/>
      <w:sz w:val="36"/>
      <w:szCs w:val="36"/>
    </w:rPr>
  </w:style>
  <w:style w:type="paragraph" w:customStyle="1" w:styleId="table-meta">
    <w:name w:val="table-meta"/>
    <w:basedOn w:val="Normal"/>
    <w:rsid w:val="00873F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3F3C"/>
    <w:rPr>
      <w:color w:val="0000FF"/>
      <w:u w:val="single"/>
    </w:rPr>
  </w:style>
  <w:style w:type="character" w:customStyle="1" w:styleId="sortme">
    <w:name w:val="sortme"/>
    <w:basedOn w:val="DefaultParagraphFont"/>
    <w:rsid w:val="00873F3C"/>
  </w:style>
  <w:style w:type="paragraph" w:styleId="BalloonText">
    <w:name w:val="Balloon Text"/>
    <w:basedOn w:val="Normal"/>
    <w:link w:val="BalloonTextChar"/>
    <w:uiPriority w:val="99"/>
    <w:semiHidden/>
    <w:unhideWhenUsed/>
    <w:rsid w:val="005C4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58D"/>
    <w:rPr>
      <w:rFonts w:ascii="Tahoma" w:hAnsi="Tahoma" w:cs="Tahoma"/>
      <w:sz w:val="16"/>
      <w:szCs w:val="16"/>
    </w:rPr>
  </w:style>
  <w:style w:type="character" w:customStyle="1" w:styleId="apple-converted-space">
    <w:name w:val="apple-converted-space"/>
    <w:basedOn w:val="DefaultParagraphFont"/>
    <w:rsid w:val="00177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3F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D61"/>
    <w:pPr>
      <w:ind w:left="720"/>
      <w:contextualSpacing/>
    </w:pPr>
  </w:style>
  <w:style w:type="paragraph" w:styleId="NormalWeb">
    <w:name w:val="Normal (Web)"/>
    <w:basedOn w:val="Normal"/>
    <w:uiPriority w:val="99"/>
    <w:semiHidden/>
    <w:unhideWhenUsed/>
    <w:rsid w:val="00873F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3F3C"/>
    <w:rPr>
      <w:b/>
      <w:bCs/>
    </w:rPr>
  </w:style>
  <w:style w:type="character" w:customStyle="1" w:styleId="Heading2Char">
    <w:name w:val="Heading 2 Char"/>
    <w:basedOn w:val="DefaultParagraphFont"/>
    <w:link w:val="Heading2"/>
    <w:uiPriority w:val="9"/>
    <w:rsid w:val="00873F3C"/>
    <w:rPr>
      <w:rFonts w:ascii="Times New Roman" w:eastAsia="Times New Roman" w:hAnsi="Times New Roman" w:cs="Times New Roman"/>
      <w:b/>
      <w:bCs/>
      <w:sz w:val="36"/>
      <w:szCs w:val="36"/>
    </w:rPr>
  </w:style>
  <w:style w:type="paragraph" w:customStyle="1" w:styleId="table-meta">
    <w:name w:val="table-meta"/>
    <w:basedOn w:val="Normal"/>
    <w:rsid w:val="00873F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3F3C"/>
    <w:rPr>
      <w:color w:val="0000FF"/>
      <w:u w:val="single"/>
    </w:rPr>
  </w:style>
  <w:style w:type="character" w:customStyle="1" w:styleId="sortme">
    <w:name w:val="sortme"/>
    <w:basedOn w:val="DefaultParagraphFont"/>
    <w:rsid w:val="00873F3C"/>
  </w:style>
  <w:style w:type="paragraph" w:styleId="BalloonText">
    <w:name w:val="Balloon Text"/>
    <w:basedOn w:val="Normal"/>
    <w:link w:val="BalloonTextChar"/>
    <w:uiPriority w:val="99"/>
    <w:semiHidden/>
    <w:unhideWhenUsed/>
    <w:rsid w:val="005C4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58D"/>
    <w:rPr>
      <w:rFonts w:ascii="Tahoma" w:hAnsi="Tahoma" w:cs="Tahoma"/>
      <w:sz w:val="16"/>
      <w:szCs w:val="16"/>
    </w:rPr>
  </w:style>
  <w:style w:type="character" w:customStyle="1" w:styleId="apple-converted-space">
    <w:name w:val="apple-converted-space"/>
    <w:basedOn w:val="DefaultParagraphFont"/>
    <w:rsid w:val="0017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3429">
      <w:bodyDiv w:val="1"/>
      <w:marLeft w:val="0"/>
      <w:marRight w:val="0"/>
      <w:marTop w:val="0"/>
      <w:marBottom w:val="0"/>
      <w:divBdr>
        <w:top w:val="none" w:sz="0" w:space="0" w:color="auto"/>
        <w:left w:val="none" w:sz="0" w:space="0" w:color="auto"/>
        <w:bottom w:val="none" w:sz="0" w:space="0" w:color="auto"/>
        <w:right w:val="none" w:sz="0" w:space="0" w:color="auto"/>
      </w:divBdr>
      <w:divsChild>
        <w:div w:id="1135101910">
          <w:marLeft w:val="0"/>
          <w:marRight w:val="0"/>
          <w:marTop w:val="0"/>
          <w:marBottom w:val="0"/>
          <w:divBdr>
            <w:top w:val="none" w:sz="0" w:space="0" w:color="auto"/>
            <w:left w:val="none" w:sz="0" w:space="0" w:color="auto"/>
            <w:bottom w:val="none" w:sz="0" w:space="0" w:color="auto"/>
            <w:right w:val="none" w:sz="0" w:space="0" w:color="auto"/>
          </w:divBdr>
        </w:div>
      </w:divsChild>
    </w:div>
    <w:div w:id="396324788">
      <w:bodyDiv w:val="1"/>
      <w:marLeft w:val="0"/>
      <w:marRight w:val="0"/>
      <w:marTop w:val="0"/>
      <w:marBottom w:val="0"/>
      <w:divBdr>
        <w:top w:val="none" w:sz="0" w:space="0" w:color="auto"/>
        <w:left w:val="none" w:sz="0" w:space="0" w:color="auto"/>
        <w:bottom w:val="none" w:sz="0" w:space="0" w:color="auto"/>
        <w:right w:val="none" w:sz="0" w:space="0" w:color="auto"/>
      </w:divBdr>
      <w:divsChild>
        <w:div w:id="610210374">
          <w:marLeft w:val="0"/>
          <w:marRight w:val="0"/>
          <w:marTop w:val="300"/>
          <w:marBottom w:val="300"/>
          <w:divBdr>
            <w:top w:val="single" w:sz="2" w:space="15" w:color="777777"/>
            <w:left w:val="single" w:sz="36" w:space="15" w:color="163A79"/>
            <w:bottom w:val="single" w:sz="2" w:space="15" w:color="777777"/>
            <w:right w:val="single" w:sz="2" w:space="15" w:color="777777"/>
          </w:divBdr>
        </w:div>
      </w:divsChild>
    </w:div>
    <w:div w:id="608126196">
      <w:bodyDiv w:val="1"/>
      <w:marLeft w:val="0"/>
      <w:marRight w:val="0"/>
      <w:marTop w:val="0"/>
      <w:marBottom w:val="0"/>
      <w:divBdr>
        <w:top w:val="none" w:sz="0" w:space="0" w:color="auto"/>
        <w:left w:val="none" w:sz="0" w:space="0" w:color="auto"/>
        <w:bottom w:val="none" w:sz="0" w:space="0" w:color="auto"/>
        <w:right w:val="none" w:sz="0" w:space="0" w:color="auto"/>
      </w:divBdr>
    </w:div>
    <w:div w:id="638610018">
      <w:bodyDiv w:val="1"/>
      <w:marLeft w:val="0"/>
      <w:marRight w:val="0"/>
      <w:marTop w:val="0"/>
      <w:marBottom w:val="0"/>
      <w:divBdr>
        <w:top w:val="none" w:sz="0" w:space="0" w:color="auto"/>
        <w:left w:val="none" w:sz="0" w:space="0" w:color="auto"/>
        <w:bottom w:val="none" w:sz="0" w:space="0" w:color="auto"/>
        <w:right w:val="none" w:sz="0" w:space="0" w:color="auto"/>
      </w:divBdr>
    </w:div>
    <w:div w:id="2142532077">
      <w:bodyDiv w:val="1"/>
      <w:marLeft w:val="0"/>
      <w:marRight w:val="0"/>
      <w:marTop w:val="0"/>
      <w:marBottom w:val="0"/>
      <w:divBdr>
        <w:top w:val="none" w:sz="0" w:space="0" w:color="auto"/>
        <w:left w:val="none" w:sz="0" w:space="0" w:color="auto"/>
        <w:bottom w:val="none" w:sz="0" w:space="0" w:color="auto"/>
        <w:right w:val="none" w:sz="0" w:space="0" w:color="auto"/>
      </w:divBdr>
      <w:divsChild>
        <w:div w:id="1712071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o.gov/sites/default/files/cbofiles/attachments/49973-Updated_Budget_Projections.pdf" TargetMode="External"/><Relationship Id="rId13" Type="http://schemas.openxmlformats.org/officeDocument/2006/relationships/hyperlink" Target="http://obamacarefacts.com/obamacare-subsidies/" TargetMode="External"/><Relationship Id="rId18" Type="http://schemas.openxmlformats.org/officeDocument/2006/relationships/hyperlink" Target="http://obamacarefacts.com/obamacare-taxes/" TargetMode="External"/><Relationship Id="rId26" Type="http://schemas.openxmlformats.org/officeDocument/2006/relationships/hyperlink" Target="http://obamacarefacts.com/insurance-exchange/premium-tax-credits/" TargetMode="External"/><Relationship Id="rId3" Type="http://schemas.microsoft.com/office/2007/relationships/stylesWithEffects" Target="stylesWithEffects.xml"/><Relationship Id="rId21" Type="http://schemas.openxmlformats.org/officeDocument/2006/relationships/hyperlink" Target="http://obamacarefacts.com/summary-of-provisions-patient-protection-and-affordable-care-act/" TargetMode="External"/><Relationship Id="rId7" Type="http://schemas.openxmlformats.org/officeDocument/2006/relationships/image" Target="media/image1.png"/><Relationship Id="rId12" Type="http://schemas.openxmlformats.org/officeDocument/2006/relationships/hyperlink" Target="http://cbo.gov/sites/default/files/cbofiles/attachments/45231-ACA_Estimates.pdf" TargetMode="External"/><Relationship Id="rId17" Type="http://schemas.openxmlformats.org/officeDocument/2006/relationships/hyperlink" Target="http://obamacarefacts.com/obamacare-cadillac-tax-excise-tax-on-high-end-plans/" TargetMode="External"/><Relationship Id="rId25" Type="http://schemas.openxmlformats.org/officeDocument/2006/relationships/hyperlink" Target="http://aspe.hhs.gov/health/reports/2014/Premiums/2014MktPlacePremBrf.pdf" TargetMode="External"/><Relationship Id="rId2" Type="http://schemas.openxmlformats.org/officeDocument/2006/relationships/styles" Target="styles.xml"/><Relationship Id="rId16" Type="http://schemas.openxmlformats.org/officeDocument/2006/relationships/hyperlink" Target="http://obamacarefacts.com/obamacare-individual-mandate/" TargetMode="External"/><Relationship Id="rId20" Type="http://schemas.openxmlformats.org/officeDocument/2006/relationships/hyperlink" Target="http://www.cbo.gov/publication/49973" TargetMode="External"/><Relationship Id="rId1" Type="http://schemas.openxmlformats.org/officeDocument/2006/relationships/numbering" Target="numbering.xml"/><Relationship Id="rId6" Type="http://schemas.openxmlformats.org/officeDocument/2006/relationships/hyperlink" Target="http://kff.org/health-reform/state-indicator/total-monthly-medicaid-and-chip-enrollment/" TargetMode="External"/><Relationship Id="rId11" Type="http://schemas.openxmlformats.org/officeDocument/2006/relationships/hyperlink" Target="http://www.cbo.gov/sites/default/files/cbofiles/attachments/49892-breakout-AppendixB.pdf" TargetMode="External"/><Relationship Id="rId24" Type="http://schemas.openxmlformats.org/officeDocument/2006/relationships/hyperlink" Target="http://obamacarefacts.com/insurance-exchange/health-insurance-marketplace/" TargetMode="External"/><Relationship Id="rId5" Type="http://schemas.openxmlformats.org/officeDocument/2006/relationships/webSettings" Target="webSettings.xml"/><Relationship Id="rId15" Type="http://schemas.openxmlformats.org/officeDocument/2006/relationships/hyperlink" Target="http://obamacarefacts.com/obamacare-small-business/" TargetMode="External"/><Relationship Id="rId23" Type="http://schemas.openxmlformats.org/officeDocument/2006/relationships/hyperlink" Target="http://obamacarefacts.com/2015/02/05/obamacare-10-million-strong-growing/" TargetMode="External"/><Relationship Id="rId28" Type="http://schemas.openxmlformats.org/officeDocument/2006/relationships/theme" Target="theme/theme1.xml"/><Relationship Id="rId10" Type="http://schemas.openxmlformats.org/officeDocument/2006/relationships/hyperlink" Target="https://www.cbo.gov/sites/default/files/cbofiles/attachments/49973-Updated_Budget_Projections.pdf" TargetMode="External"/><Relationship Id="rId19" Type="http://schemas.openxmlformats.org/officeDocument/2006/relationships/hyperlink" Target="http://obamacarefacts.com/summary-of-provisions-patient-protection-and-affordable-care-act/" TargetMode="External"/><Relationship Id="rId4" Type="http://schemas.openxmlformats.org/officeDocument/2006/relationships/settings" Target="settings.xml"/><Relationship Id="rId9" Type="http://schemas.openxmlformats.org/officeDocument/2006/relationships/hyperlink" Target="http://obamacarefacts.com/obamacare-control-costs/" TargetMode="External"/><Relationship Id="rId14" Type="http://schemas.openxmlformats.org/officeDocument/2006/relationships/hyperlink" Target="http://obamacarefacts.com/obamacares-medicaid-expansion/" TargetMode="External"/><Relationship Id="rId22" Type="http://schemas.openxmlformats.org/officeDocument/2006/relationships/hyperlink" Target="http://obamacarefacts.com/2015/02/05/obamacare-10-million-strong-grow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jjnew</dc:creator>
  <cp:lastModifiedBy>jjnew</cp:lastModifiedBy>
  <cp:revision>3</cp:revision>
  <dcterms:created xsi:type="dcterms:W3CDTF">2015-04-11T18:04:00Z</dcterms:created>
  <dcterms:modified xsi:type="dcterms:W3CDTF">2015-04-11T19:32:00Z</dcterms:modified>
</cp:coreProperties>
</file>